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51F5" w14:textId="77777777" w:rsidR="007111CB" w:rsidRPr="00A41002" w:rsidRDefault="007111CB" w:rsidP="00486A12">
      <w:pPr>
        <w:spacing w:before="120" w:line="240" w:lineRule="auto"/>
        <w:ind w:left="3544"/>
        <w:rPr>
          <w:rFonts w:cs="Arial"/>
          <w:b/>
          <w:bCs/>
          <w:szCs w:val="28"/>
        </w:rPr>
      </w:pPr>
      <w:bookmarkStart w:id="0" w:name="_Hlk161573523"/>
      <w:bookmarkStart w:id="1" w:name="_Toc125275907"/>
      <w:bookmarkStart w:id="2" w:name="_Toc482798029"/>
      <w:bookmarkStart w:id="3" w:name="_Toc58454007"/>
      <w:r w:rsidRPr="00A41002">
        <w:rPr>
          <w:rFonts w:cs="Arial"/>
          <w:b/>
          <w:bCs/>
          <w:szCs w:val="28"/>
        </w:rPr>
        <w:t>JUICIO PARA LA PROTECCIÓN DE LOS DERECHOS POLÍTICO-ELECTORALES DEL CIUDADANO</w:t>
      </w:r>
      <w:r w:rsidRPr="00A41002">
        <w:rPr>
          <w:rFonts w:cs="Arial"/>
          <w:szCs w:val="28"/>
          <w:vertAlign w:val="superscript"/>
        </w:rPr>
        <w:footnoteReference w:id="1"/>
      </w:r>
    </w:p>
    <w:p w14:paraId="1D960EB4" w14:textId="261E12AE" w:rsidR="007111CB" w:rsidRPr="00A41002" w:rsidRDefault="007111CB" w:rsidP="00486A12">
      <w:pPr>
        <w:spacing w:before="120" w:line="240" w:lineRule="auto"/>
        <w:ind w:left="3544" w:right="51"/>
        <w:rPr>
          <w:rFonts w:cs="Arial"/>
          <w:szCs w:val="28"/>
          <w:lang w:eastAsia="es-MX"/>
        </w:rPr>
      </w:pPr>
      <w:r w:rsidRPr="00A41002">
        <w:rPr>
          <w:rFonts w:cs="Arial"/>
          <w:b/>
          <w:szCs w:val="28"/>
          <w:lang w:eastAsia="es-MX"/>
        </w:rPr>
        <w:t xml:space="preserve">EXPEDIENTE: </w:t>
      </w:r>
      <w:r w:rsidRPr="00A41002">
        <w:rPr>
          <w:rFonts w:cs="Arial"/>
          <w:szCs w:val="28"/>
          <w:lang w:eastAsia="es-MX"/>
        </w:rPr>
        <w:t>SX-JDC-2</w:t>
      </w:r>
      <w:r w:rsidR="00C9484C" w:rsidRPr="00A41002">
        <w:rPr>
          <w:rFonts w:cs="Arial"/>
          <w:szCs w:val="28"/>
          <w:lang w:eastAsia="es-MX"/>
        </w:rPr>
        <w:t>38</w:t>
      </w:r>
      <w:r w:rsidRPr="00A41002">
        <w:rPr>
          <w:rFonts w:cs="Arial"/>
          <w:szCs w:val="28"/>
          <w:lang w:eastAsia="es-MX"/>
        </w:rPr>
        <w:t>/2025</w:t>
      </w:r>
    </w:p>
    <w:p w14:paraId="20BEDC0B" w14:textId="62204F50" w:rsidR="007111CB" w:rsidRPr="00A41002" w:rsidRDefault="007111CB" w:rsidP="00486A12">
      <w:pPr>
        <w:spacing w:before="120" w:line="240" w:lineRule="auto"/>
        <w:ind w:left="3544" w:right="51"/>
        <w:rPr>
          <w:rFonts w:cs="Arial"/>
          <w:szCs w:val="28"/>
          <w:lang w:eastAsia="es-MX"/>
        </w:rPr>
      </w:pPr>
      <w:r w:rsidRPr="00A41002">
        <w:rPr>
          <w:rFonts w:cs="Arial"/>
          <w:b/>
          <w:szCs w:val="28"/>
          <w:lang w:eastAsia="es-MX"/>
        </w:rPr>
        <w:t xml:space="preserve">PARTE ACTORA: </w:t>
      </w:r>
      <w:r w:rsidR="00C9484C" w:rsidRPr="00A41002">
        <w:rPr>
          <w:rFonts w:cs="Arial"/>
          <w:bCs/>
          <w:szCs w:val="28"/>
          <w:lang w:eastAsia="es-MX"/>
        </w:rPr>
        <w:t xml:space="preserve">RUSELL </w:t>
      </w:r>
      <w:r w:rsidR="003A547F" w:rsidRPr="00A41002">
        <w:rPr>
          <w:rFonts w:cs="Arial"/>
          <w:bCs/>
          <w:szCs w:val="28"/>
          <w:lang w:eastAsia="es-MX"/>
        </w:rPr>
        <w:t>ALEJANDRO BORGES SANTOS</w:t>
      </w:r>
    </w:p>
    <w:p w14:paraId="550C64DE" w14:textId="6C4F7D2E" w:rsidR="007111CB" w:rsidRPr="00A41002" w:rsidRDefault="007111CB" w:rsidP="00486A12">
      <w:pPr>
        <w:spacing w:before="120" w:line="240" w:lineRule="auto"/>
        <w:ind w:left="3544" w:right="51"/>
        <w:rPr>
          <w:rFonts w:cs="Arial"/>
          <w:bCs/>
          <w:szCs w:val="28"/>
          <w:lang w:eastAsia="es-MX"/>
        </w:rPr>
      </w:pPr>
      <w:r w:rsidRPr="00A41002">
        <w:rPr>
          <w:rFonts w:cs="Arial"/>
          <w:b/>
          <w:szCs w:val="28"/>
          <w:lang w:eastAsia="es-MX"/>
        </w:rPr>
        <w:t xml:space="preserve">AUTORIDAD RESPONSABLE: </w:t>
      </w:r>
      <w:r w:rsidRPr="00A41002">
        <w:rPr>
          <w:rFonts w:cs="Arial"/>
          <w:bCs/>
          <w:szCs w:val="28"/>
          <w:lang w:eastAsia="es-MX"/>
        </w:rPr>
        <w:t xml:space="preserve">TRIBUNAL ELECTORAL DEL ESTADO DE </w:t>
      </w:r>
      <w:r w:rsidR="003A547F" w:rsidRPr="00A41002">
        <w:rPr>
          <w:rFonts w:cs="Arial"/>
          <w:bCs/>
          <w:szCs w:val="28"/>
          <w:lang w:eastAsia="es-MX"/>
        </w:rPr>
        <w:t>YUCATÁN</w:t>
      </w:r>
    </w:p>
    <w:p w14:paraId="57866E71" w14:textId="5BB81425" w:rsidR="007111CB" w:rsidRPr="00A41002" w:rsidRDefault="007111CB" w:rsidP="00486A12">
      <w:pPr>
        <w:spacing w:before="120" w:line="240" w:lineRule="auto"/>
        <w:ind w:left="3544" w:right="51"/>
        <w:rPr>
          <w:rFonts w:cs="Arial"/>
          <w:bCs/>
          <w:szCs w:val="28"/>
          <w:lang w:val="es-419" w:eastAsia="es-MX"/>
        </w:rPr>
      </w:pPr>
      <w:r w:rsidRPr="00A41002">
        <w:rPr>
          <w:rFonts w:cs="Arial"/>
          <w:b/>
          <w:szCs w:val="28"/>
          <w:lang w:val="es-419"/>
        </w:rPr>
        <w:t xml:space="preserve">TERCERA INTERESADA: </w:t>
      </w:r>
      <w:r w:rsidR="003A547F" w:rsidRPr="00A41002">
        <w:rPr>
          <w:rFonts w:cs="Arial"/>
          <w:bCs/>
          <w:szCs w:val="28"/>
          <w:lang w:val="es-419"/>
        </w:rPr>
        <w:t xml:space="preserve">GABINA DEL ROSARIO MEX </w:t>
      </w:r>
      <w:r w:rsidR="006A5D2C" w:rsidRPr="00A41002">
        <w:rPr>
          <w:rFonts w:cs="Arial"/>
          <w:bCs/>
          <w:szCs w:val="28"/>
          <w:lang w:val="es-419"/>
        </w:rPr>
        <w:t>V</w:t>
      </w:r>
      <w:r w:rsidR="003A547F" w:rsidRPr="00A41002">
        <w:rPr>
          <w:rFonts w:cs="Arial"/>
          <w:bCs/>
          <w:szCs w:val="28"/>
          <w:lang w:val="es-419"/>
        </w:rPr>
        <w:t>IVAS</w:t>
      </w:r>
      <w:r w:rsidR="006A5D2C" w:rsidRPr="00A41002">
        <w:rPr>
          <w:rStyle w:val="Refdenotaalpie"/>
          <w:rFonts w:cs="Arial"/>
          <w:bCs/>
          <w:szCs w:val="28"/>
          <w:lang w:val="es-419"/>
        </w:rPr>
        <w:footnoteReference w:id="2"/>
      </w:r>
    </w:p>
    <w:p w14:paraId="5B47BE10" w14:textId="77777777" w:rsidR="007111CB" w:rsidRPr="00A41002" w:rsidRDefault="007111CB" w:rsidP="00486A12">
      <w:pPr>
        <w:spacing w:before="120" w:line="240" w:lineRule="auto"/>
        <w:ind w:left="3544" w:right="51"/>
        <w:rPr>
          <w:rFonts w:cs="Arial"/>
          <w:b/>
          <w:bCs/>
          <w:szCs w:val="28"/>
          <w:lang w:val="pt-PT" w:eastAsia="es-MX"/>
        </w:rPr>
      </w:pPr>
      <w:r w:rsidRPr="00A41002">
        <w:rPr>
          <w:rFonts w:cs="Arial"/>
          <w:b/>
          <w:bCs/>
          <w:szCs w:val="28"/>
          <w:lang w:val="pt-PT" w:eastAsia="es-MX"/>
        </w:rPr>
        <w:t xml:space="preserve">MAGISTRADO PONENTE: </w:t>
      </w:r>
      <w:r w:rsidRPr="00A41002">
        <w:rPr>
          <w:rFonts w:cs="Arial"/>
          <w:szCs w:val="28"/>
          <w:lang w:val="pt-PT" w:eastAsia="es-MX"/>
        </w:rPr>
        <w:t>ENRIQUE FIGUEROA ÁVILA</w:t>
      </w:r>
      <w:r w:rsidRPr="00A41002">
        <w:rPr>
          <w:rFonts w:cs="Arial"/>
          <w:b/>
          <w:bCs/>
          <w:szCs w:val="28"/>
          <w:lang w:val="pt-PT" w:eastAsia="es-MX"/>
        </w:rPr>
        <w:t xml:space="preserve"> </w:t>
      </w:r>
    </w:p>
    <w:p w14:paraId="6A5363EC" w14:textId="77777777" w:rsidR="007111CB" w:rsidRPr="00A41002" w:rsidRDefault="007111CB" w:rsidP="00486A12">
      <w:pPr>
        <w:spacing w:before="120" w:line="240" w:lineRule="auto"/>
        <w:ind w:left="3544" w:right="51"/>
        <w:rPr>
          <w:rFonts w:cs="Arial"/>
          <w:bCs/>
          <w:szCs w:val="28"/>
          <w:lang w:val="pt-PT" w:eastAsia="es-MX"/>
        </w:rPr>
      </w:pPr>
      <w:r w:rsidRPr="00A41002">
        <w:rPr>
          <w:rFonts w:cs="Arial"/>
          <w:b/>
          <w:bCs/>
          <w:szCs w:val="28"/>
          <w:lang w:val="pt-PT" w:eastAsia="es-MX"/>
        </w:rPr>
        <w:t>SECRETARIO:</w:t>
      </w:r>
      <w:r w:rsidRPr="00A41002">
        <w:rPr>
          <w:rFonts w:cs="Arial"/>
          <w:szCs w:val="28"/>
          <w:lang w:val="pt-PT" w:eastAsia="es-MX"/>
        </w:rPr>
        <w:t xml:space="preserve"> ARMANDO CORONEL MIRANDA</w:t>
      </w:r>
    </w:p>
    <w:p w14:paraId="1C2D3518" w14:textId="5404350A" w:rsidR="007111CB" w:rsidRPr="00A41002" w:rsidRDefault="007111CB" w:rsidP="00486A12">
      <w:pPr>
        <w:spacing w:before="120" w:line="240" w:lineRule="auto"/>
        <w:ind w:left="3544" w:right="51"/>
        <w:rPr>
          <w:rFonts w:cs="Arial"/>
          <w:bCs/>
          <w:szCs w:val="28"/>
          <w:lang w:eastAsia="es-MX"/>
        </w:rPr>
      </w:pPr>
      <w:r w:rsidRPr="00A41002">
        <w:rPr>
          <w:rFonts w:cs="Arial"/>
          <w:b/>
          <w:bCs/>
          <w:szCs w:val="28"/>
          <w:lang w:eastAsia="es-MX"/>
        </w:rPr>
        <w:t>COLABORÓ:</w:t>
      </w:r>
      <w:r w:rsidRPr="00A41002">
        <w:rPr>
          <w:rFonts w:cs="Arial"/>
          <w:bCs/>
          <w:szCs w:val="28"/>
          <w:lang w:eastAsia="es-MX"/>
        </w:rPr>
        <w:t xml:space="preserve"> </w:t>
      </w:r>
      <w:bookmarkStart w:id="4" w:name="_Hlk195035502"/>
      <w:r w:rsidRPr="00A41002">
        <w:rPr>
          <w:rFonts w:cs="Arial"/>
          <w:bCs/>
          <w:szCs w:val="28"/>
          <w:lang w:eastAsia="es-MX"/>
        </w:rPr>
        <w:t>FREYRA BADILLO HERRERA</w:t>
      </w:r>
      <w:r w:rsidR="00E31A44" w:rsidRPr="00A41002">
        <w:rPr>
          <w:rFonts w:cs="Arial"/>
          <w:bCs/>
          <w:szCs w:val="28"/>
          <w:lang w:eastAsia="es-MX"/>
        </w:rPr>
        <w:t>,</w:t>
      </w:r>
      <w:r w:rsidRPr="00A41002">
        <w:rPr>
          <w:rFonts w:cs="Arial"/>
          <w:bCs/>
          <w:szCs w:val="28"/>
          <w:lang w:eastAsia="es-MX"/>
        </w:rPr>
        <w:t xml:space="preserve"> FRIDA CÁRDENAS MOREN</w:t>
      </w:r>
      <w:r w:rsidR="006B3B6E" w:rsidRPr="00A41002">
        <w:rPr>
          <w:rFonts w:cs="Arial"/>
          <w:bCs/>
          <w:szCs w:val="28"/>
          <w:lang w:eastAsia="es-MX"/>
        </w:rPr>
        <w:t>O</w:t>
      </w:r>
      <w:bookmarkEnd w:id="4"/>
      <w:r w:rsidR="006B3B6E" w:rsidRPr="00A41002">
        <w:rPr>
          <w:rFonts w:cs="Arial"/>
          <w:bCs/>
          <w:szCs w:val="28"/>
          <w:lang w:eastAsia="es-MX"/>
        </w:rPr>
        <w:t xml:space="preserve"> Y MARIANA VELÁZQUEZ VILLAFUERTE</w:t>
      </w:r>
    </w:p>
    <w:p w14:paraId="3048D226" w14:textId="1F949E76" w:rsidR="00AF31C9" w:rsidRPr="00A41002" w:rsidRDefault="00AF31C9" w:rsidP="00AF31C9">
      <w:pPr>
        <w:pStyle w:val="NormalWeb"/>
        <w:spacing w:before="360" w:beforeAutospacing="0" w:after="240" w:afterAutospacing="0" w:line="360" w:lineRule="auto"/>
        <w:jc w:val="both"/>
        <w:rPr>
          <w:rFonts w:cs="Arial"/>
          <w:szCs w:val="28"/>
        </w:rPr>
      </w:pPr>
      <w:bookmarkStart w:id="5" w:name="_Hlk11869584"/>
      <w:bookmarkEnd w:id="0"/>
      <w:r w:rsidRPr="00A41002">
        <w:rPr>
          <w:rFonts w:cs="Arial"/>
          <w:szCs w:val="28"/>
        </w:rPr>
        <w:t xml:space="preserve">Xalapa-Enríquez, Veracruz de Ignacio de la Llave, </w:t>
      </w:r>
      <w:r w:rsidR="00745AD7" w:rsidRPr="00A41002">
        <w:rPr>
          <w:rFonts w:cs="Arial"/>
          <w:szCs w:val="28"/>
        </w:rPr>
        <w:t>trece</w:t>
      </w:r>
      <w:r w:rsidR="00DC590B" w:rsidRPr="00A41002">
        <w:rPr>
          <w:rFonts w:cs="Arial"/>
          <w:szCs w:val="28"/>
        </w:rPr>
        <w:t xml:space="preserve"> de </w:t>
      </w:r>
      <w:r w:rsidR="00482FFE" w:rsidRPr="00A41002">
        <w:rPr>
          <w:rFonts w:cs="Arial"/>
          <w:szCs w:val="28"/>
        </w:rPr>
        <w:t xml:space="preserve">mayo </w:t>
      </w:r>
      <w:r w:rsidR="00DC590B" w:rsidRPr="00A41002">
        <w:rPr>
          <w:rFonts w:cs="Arial"/>
          <w:szCs w:val="28"/>
        </w:rPr>
        <w:t>de dos mil veinticinco</w:t>
      </w:r>
      <w:r w:rsidRPr="00A41002">
        <w:rPr>
          <w:rFonts w:cs="Arial"/>
          <w:szCs w:val="28"/>
        </w:rPr>
        <w:t>.</w:t>
      </w:r>
    </w:p>
    <w:p w14:paraId="0B64B07F" w14:textId="609A4C18" w:rsidR="00AF31C9" w:rsidRPr="00A41002" w:rsidRDefault="00486A12" w:rsidP="00486A12">
      <w:pPr>
        <w:spacing w:before="120"/>
        <w:rPr>
          <w:rFonts w:cs="Arial"/>
          <w:szCs w:val="28"/>
        </w:rPr>
      </w:pPr>
      <w:bookmarkStart w:id="6" w:name="_Toc482798023"/>
      <w:bookmarkEnd w:id="5"/>
      <w:r w:rsidRPr="00A41002">
        <w:rPr>
          <w:b/>
          <w:spacing w:val="80"/>
          <w:szCs w:val="28"/>
        </w:rPr>
        <w:t xml:space="preserve">SENTENCIA </w:t>
      </w:r>
      <w:r w:rsidRPr="00A41002">
        <w:rPr>
          <w:rFonts w:cs="Arial"/>
          <w:szCs w:val="28"/>
        </w:rPr>
        <w:t xml:space="preserve">que resuelve el </w:t>
      </w:r>
      <w:bookmarkStart w:id="7" w:name="_Hlk195035649"/>
      <w:r w:rsidRPr="00A41002">
        <w:rPr>
          <w:rFonts w:cs="Arial"/>
          <w:szCs w:val="28"/>
        </w:rPr>
        <w:t xml:space="preserve">juicio para la protección de los derechos político-electorales de la ciudadanía promovido por </w:t>
      </w:r>
      <w:proofErr w:type="spellStart"/>
      <w:r w:rsidR="001F12A7" w:rsidRPr="00A41002">
        <w:rPr>
          <w:rFonts w:cs="Arial"/>
          <w:szCs w:val="28"/>
        </w:rPr>
        <w:t>Rusell</w:t>
      </w:r>
      <w:proofErr w:type="spellEnd"/>
      <w:r w:rsidR="001F12A7" w:rsidRPr="00A41002">
        <w:rPr>
          <w:rFonts w:cs="Arial"/>
          <w:szCs w:val="28"/>
        </w:rPr>
        <w:t xml:space="preserve"> Alejandro Borges Santos</w:t>
      </w:r>
      <w:bookmarkEnd w:id="7"/>
      <w:r w:rsidRPr="00A41002">
        <w:rPr>
          <w:rStyle w:val="Refdenotaalpie"/>
          <w:rFonts w:eastAsiaTheme="majorEastAsia" w:cs="Arial"/>
          <w:szCs w:val="28"/>
        </w:rPr>
        <w:footnoteReference w:id="3"/>
      </w:r>
      <w:r w:rsidRPr="00A41002">
        <w:rPr>
          <w:rFonts w:cs="Arial"/>
          <w:szCs w:val="28"/>
        </w:rPr>
        <w:t xml:space="preserve">, quien se ostenta como </w:t>
      </w:r>
      <w:r w:rsidR="001F12A7" w:rsidRPr="00A41002">
        <w:rPr>
          <w:rFonts w:cs="Arial"/>
          <w:szCs w:val="28"/>
        </w:rPr>
        <w:t xml:space="preserve">comisario de </w:t>
      </w:r>
      <w:proofErr w:type="spellStart"/>
      <w:r w:rsidR="001F12A7" w:rsidRPr="00A41002">
        <w:rPr>
          <w:rFonts w:cs="Arial"/>
          <w:szCs w:val="28"/>
        </w:rPr>
        <w:t>Xcumpich</w:t>
      </w:r>
      <w:proofErr w:type="spellEnd"/>
      <w:r w:rsidR="001F12A7" w:rsidRPr="00A41002">
        <w:rPr>
          <w:rFonts w:cs="Arial"/>
          <w:szCs w:val="28"/>
        </w:rPr>
        <w:t>, Mérida, Yucatán</w:t>
      </w:r>
      <w:r w:rsidRPr="00A41002">
        <w:rPr>
          <w:rFonts w:cs="Arial"/>
          <w:szCs w:val="28"/>
        </w:rPr>
        <w:t xml:space="preserve">, contra </w:t>
      </w:r>
      <w:bookmarkStart w:id="8" w:name="_Hlk195035684"/>
      <w:r w:rsidRPr="00A41002">
        <w:rPr>
          <w:rFonts w:cs="Arial"/>
          <w:szCs w:val="28"/>
        </w:rPr>
        <w:t xml:space="preserve">la sentencia </w:t>
      </w:r>
      <w:r w:rsidRPr="00A41002">
        <w:rPr>
          <w:rFonts w:cs="Arial"/>
          <w:szCs w:val="28"/>
        </w:rPr>
        <w:lastRenderedPageBreak/>
        <w:t xml:space="preserve">emitida por el Tribunal Electoral del Estado de </w:t>
      </w:r>
      <w:r w:rsidR="001F12A7" w:rsidRPr="00A41002">
        <w:rPr>
          <w:rFonts w:cs="Arial"/>
          <w:szCs w:val="28"/>
        </w:rPr>
        <w:t>Yucatán</w:t>
      </w:r>
      <w:r w:rsidRPr="00A41002">
        <w:rPr>
          <w:rFonts w:cs="Arial"/>
          <w:szCs w:val="28"/>
          <w:vertAlign w:val="superscript"/>
        </w:rPr>
        <w:footnoteReference w:id="4"/>
      </w:r>
      <w:r w:rsidRPr="00A41002">
        <w:rPr>
          <w:rFonts w:cs="Arial"/>
          <w:szCs w:val="28"/>
        </w:rPr>
        <w:t xml:space="preserve"> en el expediente JDC</w:t>
      </w:r>
      <w:r w:rsidR="001F12A7" w:rsidRPr="00A41002">
        <w:rPr>
          <w:rFonts w:cs="Arial"/>
          <w:szCs w:val="28"/>
        </w:rPr>
        <w:t>-093</w:t>
      </w:r>
      <w:r w:rsidRPr="00A41002">
        <w:rPr>
          <w:rFonts w:cs="Arial"/>
          <w:szCs w:val="28"/>
        </w:rPr>
        <w:t xml:space="preserve">/2024, </w:t>
      </w:r>
      <w:r w:rsidRPr="00A41002">
        <w:rPr>
          <w:szCs w:val="28"/>
          <w:shd w:val="clear" w:color="auto" w:fill="FFFFFF"/>
        </w:rPr>
        <w:t>que</w:t>
      </w:r>
      <w:r w:rsidR="0014167B" w:rsidRPr="00A41002">
        <w:rPr>
          <w:szCs w:val="28"/>
          <w:shd w:val="clear" w:color="auto" w:fill="FFFFFF"/>
        </w:rPr>
        <w:t xml:space="preserve"> </w:t>
      </w:r>
      <w:r w:rsidR="001F12A7" w:rsidRPr="00A41002">
        <w:rPr>
          <w:szCs w:val="28"/>
          <w:shd w:val="clear" w:color="auto" w:fill="FFFFFF"/>
        </w:rPr>
        <w:t xml:space="preserve">revocó la designación del ahora promovente </w:t>
      </w:r>
      <w:r w:rsidR="00D625DD" w:rsidRPr="00A41002">
        <w:rPr>
          <w:szCs w:val="28"/>
          <w:shd w:val="clear" w:color="auto" w:fill="FFFFFF"/>
        </w:rPr>
        <w:t>del</w:t>
      </w:r>
      <w:r w:rsidR="001F12A7" w:rsidRPr="00A41002">
        <w:rPr>
          <w:szCs w:val="28"/>
          <w:shd w:val="clear" w:color="auto" w:fill="FFFFFF"/>
        </w:rPr>
        <w:t xml:space="preserve"> cargo </w:t>
      </w:r>
      <w:r w:rsidR="00D625DD" w:rsidRPr="00A41002">
        <w:rPr>
          <w:szCs w:val="28"/>
          <w:shd w:val="clear" w:color="auto" w:fill="FFFFFF"/>
        </w:rPr>
        <w:t>referido</w:t>
      </w:r>
      <w:r w:rsidR="001F12A7" w:rsidRPr="00A41002">
        <w:rPr>
          <w:szCs w:val="28"/>
          <w:shd w:val="clear" w:color="auto" w:fill="FFFFFF"/>
        </w:rPr>
        <w:t>, declaró la nulidad de la elección de autoridades auxiliares correspondientes a la aludida comisaría y ordenó la celebración de una elección extraordinaria</w:t>
      </w:r>
      <w:r w:rsidRPr="00A41002">
        <w:rPr>
          <w:szCs w:val="28"/>
          <w:shd w:val="clear" w:color="auto" w:fill="FFFFFF"/>
        </w:rPr>
        <w:t>.</w:t>
      </w:r>
    </w:p>
    <w:bookmarkEnd w:id="8" w:displacedByCustomXml="next"/>
    <w:sdt>
      <w:sdtPr>
        <w:rPr>
          <w:rFonts w:ascii="Univers" w:eastAsia="Times New Roman" w:hAnsi="Univers" w:cs="Times New Roman"/>
          <w:b w:val="0"/>
          <w:bCs w:val="0"/>
          <w:noProof/>
          <w:color w:val="auto"/>
          <w:spacing w:val="80"/>
          <w:sz w:val="24"/>
          <w:szCs w:val="24"/>
          <w:lang w:val="es-ES" w:eastAsia="es-ES"/>
        </w:rPr>
        <w:id w:val="-1023706655"/>
        <w:docPartObj>
          <w:docPartGallery w:val="Table of Contents"/>
          <w:docPartUnique/>
        </w:docPartObj>
      </w:sdtPr>
      <w:sdtEndPr>
        <w:rPr>
          <w:rFonts w:eastAsiaTheme="majorEastAsia" w:cstheme="majorBidi"/>
          <w:lang w:eastAsia="es-MX"/>
        </w:rPr>
      </w:sdtEndPr>
      <w:sdtContent>
        <w:p w14:paraId="30D3B3B5" w14:textId="76764D61" w:rsidR="00AF31C9" w:rsidRPr="00A41002" w:rsidRDefault="00AF31C9" w:rsidP="00AF31C9">
          <w:pPr>
            <w:pStyle w:val="TtuloTDC"/>
            <w:tabs>
              <w:tab w:val="right" w:leader="dot" w:pos="8222"/>
            </w:tabs>
            <w:spacing w:before="0" w:after="240"/>
            <w:jc w:val="center"/>
            <w:rPr>
              <w:rFonts w:ascii="Univers" w:hAnsi="Univers"/>
              <w:color w:val="auto"/>
              <w:sz w:val="24"/>
              <w:szCs w:val="24"/>
            </w:rPr>
          </w:pPr>
          <w:r w:rsidRPr="00A41002">
            <w:rPr>
              <w:rFonts w:ascii="Univers" w:hAnsi="Univers"/>
              <w:color w:val="auto"/>
              <w:sz w:val="24"/>
              <w:szCs w:val="24"/>
              <w:lang w:val="es-ES"/>
            </w:rPr>
            <w:t>Í</w:t>
          </w:r>
          <w:r w:rsidR="00920B45" w:rsidRPr="00A41002">
            <w:rPr>
              <w:rFonts w:ascii="Univers" w:hAnsi="Univers"/>
              <w:color w:val="auto"/>
              <w:sz w:val="24"/>
              <w:szCs w:val="24"/>
              <w:lang w:val="es-ES"/>
            </w:rPr>
            <w:t xml:space="preserve"> </w:t>
          </w:r>
          <w:r w:rsidRPr="00A41002">
            <w:rPr>
              <w:rFonts w:ascii="Univers" w:hAnsi="Univers"/>
              <w:color w:val="auto"/>
              <w:sz w:val="24"/>
              <w:szCs w:val="24"/>
              <w:lang w:val="es-ES"/>
            </w:rPr>
            <w:t>N</w:t>
          </w:r>
          <w:r w:rsidR="00920B45" w:rsidRPr="00A41002">
            <w:rPr>
              <w:rFonts w:ascii="Univers" w:hAnsi="Univers"/>
              <w:color w:val="auto"/>
              <w:sz w:val="24"/>
              <w:szCs w:val="24"/>
              <w:lang w:val="es-ES"/>
            </w:rPr>
            <w:t xml:space="preserve"> </w:t>
          </w:r>
          <w:r w:rsidRPr="00A41002">
            <w:rPr>
              <w:rFonts w:ascii="Univers" w:hAnsi="Univers"/>
              <w:color w:val="auto"/>
              <w:sz w:val="24"/>
              <w:szCs w:val="24"/>
              <w:lang w:val="es-ES"/>
            </w:rPr>
            <w:t>D</w:t>
          </w:r>
          <w:r w:rsidR="00920B45" w:rsidRPr="00A41002">
            <w:rPr>
              <w:rFonts w:ascii="Univers" w:hAnsi="Univers"/>
              <w:color w:val="auto"/>
              <w:sz w:val="24"/>
              <w:szCs w:val="24"/>
              <w:lang w:val="es-ES"/>
            </w:rPr>
            <w:t xml:space="preserve"> </w:t>
          </w:r>
          <w:r w:rsidRPr="00A41002">
            <w:rPr>
              <w:rFonts w:ascii="Univers" w:hAnsi="Univers"/>
              <w:color w:val="auto"/>
              <w:sz w:val="24"/>
              <w:szCs w:val="24"/>
              <w:lang w:val="es-ES"/>
            </w:rPr>
            <w:t>I</w:t>
          </w:r>
          <w:r w:rsidR="00920B45" w:rsidRPr="00A41002">
            <w:rPr>
              <w:rFonts w:ascii="Univers" w:hAnsi="Univers"/>
              <w:color w:val="auto"/>
              <w:sz w:val="24"/>
              <w:szCs w:val="24"/>
              <w:lang w:val="es-ES"/>
            </w:rPr>
            <w:t xml:space="preserve"> </w:t>
          </w:r>
          <w:r w:rsidRPr="00A41002">
            <w:rPr>
              <w:rFonts w:ascii="Univers" w:hAnsi="Univers"/>
              <w:color w:val="auto"/>
              <w:sz w:val="24"/>
              <w:szCs w:val="24"/>
              <w:lang w:val="es-ES"/>
            </w:rPr>
            <w:t>C</w:t>
          </w:r>
          <w:r w:rsidR="00920B45" w:rsidRPr="00A41002">
            <w:rPr>
              <w:rFonts w:ascii="Univers" w:hAnsi="Univers"/>
              <w:color w:val="auto"/>
              <w:sz w:val="24"/>
              <w:szCs w:val="24"/>
              <w:lang w:val="es-ES"/>
            </w:rPr>
            <w:t xml:space="preserve"> </w:t>
          </w:r>
          <w:r w:rsidRPr="00A41002">
            <w:rPr>
              <w:rFonts w:ascii="Univers" w:hAnsi="Univers"/>
              <w:color w:val="auto"/>
              <w:sz w:val="24"/>
              <w:szCs w:val="24"/>
              <w:lang w:val="es-ES"/>
            </w:rPr>
            <w:t>E</w:t>
          </w:r>
        </w:p>
        <w:p w14:paraId="50EA6220" w14:textId="383944C5" w:rsidR="00D2219C" w:rsidRPr="00A41002" w:rsidRDefault="00AF31C9">
          <w:pPr>
            <w:pStyle w:val="TDC1"/>
            <w:rPr>
              <w:rFonts w:asciiTheme="minorHAnsi" w:eastAsiaTheme="minorEastAsia" w:hAnsiTheme="minorHAnsi" w:cstheme="minorBidi"/>
              <w:spacing w:val="0"/>
              <w:kern w:val="2"/>
              <w:lang w:val="es-419" w:eastAsia="es-419"/>
              <w14:ligatures w14:val="standardContextual"/>
            </w:rPr>
          </w:pPr>
          <w:r w:rsidRPr="00A41002">
            <w:rPr>
              <w:rFonts w:eastAsia="Times New Roman" w:cs="Times New Roman"/>
              <w:noProof w:val="0"/>
              <w:spacing w:val="0"/>
              <w:lang w:eastAsia="es-ES"/>
            </w:rPr>
            <w:fldChar w:fldCharType="begin"/>
          </w:r>
          <w:r w:rsidRPr="00A41002">
            <w:instrText xml:space="preserve"> TOC \o "1-3" \h \z \u </w:instrText>
          </w:r>
          <w:r w:rsidRPr="00A41002">
            <w:rPr>
              <w:rFonts w:eastAsia="Times New Roman" w:cs="Times New Roman"/>
              <w:noProof w:val="0"/>
              <w:spacing w:val="0"/>
              <w:lang w:eastAsia="es-ES"/>
            </w:rPr>
            <w:fldChar w:fldCharType="separate"/>
          </w:r>
          <w:hyperlink w:anchor="_Toc198028397" w:history="1">
            <w:r w:rsidR="00D2219C" w:rsidRPr="00A41002">
              <w:rPr>
                <w:rStyle w:val="Hipervnculo"/>
                <w:spacing w:val="100"/>
              </w:rPr>
              <w:t>SUMARIO DE LA DECISIÓN</w:t>
            </w:r>
            <w:r w:rsidR="00D2219C" w:rsidRPr="00A41002">
              <w:rPr>
                <w:webHidden/>
              </w:rPr>
              <w:tab/>
            </w:r>
            <w:r w:rsidR="00D2219C" w:rsidRPr="00A41002">
              <w:rPr>
                <w:webHidden/>
              </w:rPr>
              <w:fldChar w:fldCharType="begin"/>
            </w:r>
            <w:r w:rsidR="00D2219C" w:rsidRPr="00A41002">
              <w:rPr>
                <w:webHidden/>
              </w:rPr>
              <w:instrText xml:space="preserve"> PAGEREF _Toc198028397 \h </w:instrText>
            </w:r>
            <w:r w:rsidR="00D2219C" w:rsidRPr="00A41002">
              <w:rPr>
                <w:webHidden/>
              </w:rPr>
            </w:r>
            <w:r w:rsidR="00D2219C" w:rsidRPr="00A41002">
              <w:rPr>
                <w:webHidden/>
              </w:rPr>
              <w:fldChar w:fldCharType="separate"/>
            </w:r>
            <w:r w:rsidR="004A0538">
              <w:rPr>
                <w:webHidden/>
              </w:rPr>
              <w:t>2</w:t>
            </w:r>
            <w:r w:rsidR="00D2219C" w:rsidRPr="00A41002">
              <w:rPr>
                <w:webHidden/>
              </w:rPr>
              <w:fldChar w:fldCharType="end"/>
            </w:r>
          </w:hyperlink>
        </w:p>
        <w:p w14:paraId="4AC354BE" w14:textId="69BC12DB" w:rsidR="00D2219C" w:rsidRPr="00A41002" w:rsidRDefault="00D2219C">
          <w:pPr>
            <w:pStyle w:val="TDC1"/>
            <w:rPr>
              <w:rFonts w:asciiTheme="minorHAnsi" w:eastAsiaTheme="minorEastAsia" w:hAnsiTheme="minorHAnsi" w:cstheme="minorBidi"/>
              <w:spacing w:val="0"/>
              <w:kern w:val="2"/>
              <w:lang w:val="es-419" w:eastAsia="es-419"/>
              <w14:ligatures w14:val="standardContextual"/>
            </w:rPr>
          </w:pPr>
          <w:hyperlink w:anchor="_Toc198028398" w:history="1">
            <w:r w:rsidRPr="00A41002">
              <w:rPr>
                <w:rStyle w:val="Hipervnculo"/>
                <w:spacing w:val="100"/>
              </w:rPr>
              <w:t>ANTECEDENTES</w:t>
            </w:r>
            <w:r w:rsidRPr="00A41002">
              <w:rPr>
                <w:webHidden/>
              </w:rPr>
              <w:tab/>
            </w:r>
            <w:r w:rsidRPr="00A41002">
              <w:rPr>
                <w:webHidden/>
              </w:rPr>
              <w:fldChar w:fldCharType="begin"/>
            </w:r>
            <w:r w:rsidRPr="00A41002">
              <w:rPr>
                <w:webHidden/>
              </w:rPr>
              <w:instrText xml:space="preserve"> PAGEREF _Toc198028398 \h </w:instrText>
            </w:r>
            <w:r w:rsidRPr="00A41002">
              <w:rPr>
                <w:webHidden/>
              </w:rPr>
            </w:r>
            <w:r w:rsidRPr="00A41002">
              <w:rPr>
                <w:webHidden/>
              </w:rPr>
              <w:fldChar w:fldCharType="separate"/>
            </w:r>
            <w:r w:rsidR="004A0538">
              <w:rPr>
                <w:webHidden/>
              </w:rPr>
              <w:t>3</w:t>
            </w:r>
            <w:r w:rsidRPr="00A41002">
              <w:rPr>
                <w:webHidden/>
              </w:rPr>
              <w:fldChar w:fldCharType="end"/>
            </w:r>
          </w:hyperlink>
        </w:p>
        <w:p w14:paraId="4296E52D" w14:textId="0FDB06C7" w:rsidR="00D2219C" w:rsidRPr="00A41002" w:rsidRDefault="00D2219C">
          <w:pPr>
            <w:pStyle w:val="TDC2"/>
            <w:rPr>
              <w:rFonts w:asciiTheme="minorHAnsi" w:eastAsiaTheme="minorEastAsia" w:hAnsiTheme="minorHAnsi" w:cstheme="minorBidi"/>
              <w:noProof/>
              <w:kern w:val="2"/>
              <w:sz w:val="24"/>
              <w:lang w:val="es-419" w:eastAsia="es-419"/>
              <w14:ligatures w14:val="standardContextual"/>
            </w:rPr>
          </w:pPr>
          <w:hyperlink w:anchor="_Toc198028399" w:history="1">
            <w:r w:rsidRPr="00A41002">
              <w:rPr>
                <w:rStyle w:val="Hipervnculo"/>
                <w:noProof/>
              </w:rPr>
              <w:t>I. Contexto</w:t>
            </w:r>
            <w:r w:rsidRPr="00A41002">
              <w:rPr>
                <w:noProof/>
                <w:webHidden/>
              </w:rPr>
              <w:tab/>
            </w:r>
            <w:r w:rsidRPr="00A41002">
              <w:rPr>
                <w:noProof/>
                <w:webHidden/>
              </w:rPr>
              <w:fldChar w:fldCharType="begin"/>
            </w:r>
            <w:r w:rsidRPr="00A41002">
              <w:rPr>
                <w:noProof/>
                <w:webHidden/>
              </w:rPr>
              <w:instrText xml:space="preserve"> PAGEREF _Toc198028399 \h </w:instrText>
            </w:r>
            <w:r w:rsidRPr="00A41002">
              <w:rPr>
                <w:noProof/>
                <w:webHidden/>
              </w:rPr>
            </w:r>
            <w:r w:rsidRPr="00A41002">
              <w:rPr>
                <w:noProof/>
                <w:webHidden/>
              </w:rPr>
              <w:fldChar w:fldCharType="separate"/>
            </w:r>
            <w:r w:rsidR="004A0538">
              <w:rPr>
                <w:noProof/>
                <w:webHidden/>
              </w:rPr>
              <w:t>3</w:t>
            </w:r>
            <w:r w:rsidRPr="00A41002">
              <w:rPr>
                <w:noProof/>
                <w:webHidden/>
              </w:rPr>
              <w:fldChar w:fldCharType="end"/>
            </w:r>
          </w:hyperlink>
        </w:p>
        <w:p w14:paraId="31E2B542" w14:textId="6D1EB770" w:rsidR="00D2219C" w:rsidRPr="00A41002" w:rsidRDefault="00D2219C">
          <w:pPr>
            <w:pStyle w:val="TDC2"/>
            <w:rPr>
              <w:rFonts w:asciiTheme="minorHAnsi" w:eastAsiaTheme="minorEastAsia" w:hAnsiTheme="minorHAnsi" w:cstheme="minorBidi"/>
              <w:noProof/>
              <w:kern w:val="2"/>
              <w:sz w:val="24"/>
              <w:lang w:val="es-419" w:eastAsia="es-419"/>
              <w14:ligatures w14:val="standardContextual"/>
            </w:rPr>
          </w:pPr>
          <w:hyperlink w:anchor="_Toc198028400" w:history="1">
            <w:r w:rsidRPr="00A41002">
              <w:rPr>
                <w:rStyle w:val="Hipervnculo"/>
                <w:noProof/>
              </w:rPr>
              <w:t xml:space="preserve">II. </w:t>
            </w:r>
            <w:r w:rsidRPr="00A41002">
              <w:rPr>
                <w:rStyle w:val="Hipervnculo"/>
                <w:noProof/>
                <w:lang w:val="es-ES"/>
              </w:rPr>
              <w:t>Del trámite y sustanciación del juicio federal</w:t>
            </w:r>
            <w:r w:rsidRPr="00A41002">
              <w:rPr>
                <w:noProof/>
                <w:webHidden/>
              </w:rPr>
              <w:tab/>
            </w:r>
            <w:r w:rsidRPr="00A41002">
              <w:rPr>
                <w:noProof/>
                <w:webHidden/>
              </w:rPr>
              <w:fldChar w:fldCharType="begin"/>
            </w:r>
            <w:r w:rsidRPr="00A41002">
              <w:rPr>
                <w:noProof/>
                <w:webHidden/>
              </w:rPr>
              <w:instrText xml:space="preserve"> PAGEREF _Toc198028400 \h </w:instrText>
            </w:r>
            <w:r w:rsidRPr="00A41002">
              <w:rPr>
                <w:noProof/>
                <w:webHidden/>
              </w:rPr>
            </w:r>
            <w:r w:rsidRPr="00A41002">
              <w:rPr>
                <w:noProof/>
                <w:webHidden/>
              </w:rPr>
              <w:fldChar w:fldCharType="separate"/>
            </w:r>
            <w:r w:rsidR="004A0538">
              <w:rPr>
                <w:noProof/>
                <w:webHidden/>
              </w:rPr>
              <w:t>5</w:t>
            </w:r>
            <w:r w:rsidRPr="00A41002">
              <w:rPr>
                <w:noProof/>
                <w:webHidden/>
              </w:rPr>
              <w:fldChar w:fldCharType="end"/>
            </w:r>
          </w:hyperlink>
        </w:p>
        <w:p w14:paraId="61506A82" w14:textId="428AA35A" w:rsidR="00D2219C" w:rsidRPr="00A41002" w:rsidRDefault="00D2219C">
          <w:pPr>
            <w:pStyle w:val="TDC1"/>
            <w:rPr>
              <w:rFonts w:asciiTheme="minorHAnsi" w:eastAsiaTheme="minorEastAsia" w:hAnsiTheme="minorHAnsi" w:cstheme="minorBidi"/>
              <w:spacing w:val="0"/>
              <w:kern w:val="2"/>
              <w:lang w:val="es-419" w:eastAsia="es-419"/>
              <w14:ligatures w14:val="standardContextual"/>
            </w:rPr>
          </w:pPr>
          <w:hyperlink w:anchor="_Toc198028401" w:history="1">
            <w:r w:rsidRPr="00A41002">
              <w:rPr>
                <w:rStyle w:val="Hipervnculo"/>
                <w:spacing w:val="100"/>
              </w:rPr>
              <w:t>CONSIDERANDO</w:t>
            </w:r>
            <w:r w:rsidRPr="00A41002">
              <w:rPr>
                <w:webHidden/>
              </w:rPr>
              <w:tab/>
            </w:r>
            <w:r w:rsidRPr="00A41002">
              <w:rPr>
                <w:webHidden/>
              </w:rPr>
              <w:fldChar w:fldCharType="begin"/>
            </w:r>
            <w:r w:rsidRPr="00A41002">
              <w:rPr>
                <w:webHidden/>
              </w:rPr>
              <w:instrText xml:space="preserve"> PAGEREF _Toc198028401 \h </w:instrText>
            </w:r>
            <w:r w:rsidRPr="00A41002">
              <w:rPr>
                <w:webHidden/>
              </w:rPr>
            </w:r>
            <w:r w:rsidRPr="00A41002">
              <w:rPr>
                <w:webHidden/>
              </w:rPr>
              <w:fldChar w:fldCharType="separate"/>
            </w:r>
            <w:r w:rsidR="004A0538">
              <w:rPr>
                <w:webHidden/>
              </w:rPr>
              <w:t>8</w:t>
            </w:r>
            <w:r w:rsidRPr="00A41002">
              <w:rPr>
                <w:webHidden/>
              </w:rPr>
              <w:fldChar w:fldCharType="end"/>
            </w:r>
          </w:hyperlink>
        </w:p>
        <w:p w14:paraId="6512ECA5" w14:textId="143CE036" w:rsidR="00D2219C" w:rsidRPr="00A41002" w:rsidRDefault="00D2219C">
          <w:pPr>
            <w:pStyle w:val="TDC2"/>
            <w:rPr>
              <w:rFonts w:asciiTheme="minorHAnsi" w:eastAsiaTheme="minorEastAsia" w:hAnsiTheme="minorHAnsi" w:cstheme="minorBidi"/>
              <w:noProof/>
              <w:kern w:val="2"/>
              <w:sz w:val="24"/>
              <w:lang w:val="es-419" w:eastAsia="es-419"/>
              <w14:ligatures w14:val="standardContextual"/>
            </w:rPr>
          </w:pPr>
          <w:hyperlink w:anchor="_Toc198028402" w:history="1">
            <w:r w:rsidRPr="00A41002">
              <w:rPr>
                <w:rStyle w:val="Hipervnculo"/>
                <w:rFonts w:eastAsiaTheme="majorEastAsia" w:cstheme="majorBidi"/>
                <w:noProof/>
              </w:rPr>
              <w:t>PRIMERO. Jurisdicción y competencia</w:t>
            </w:r>
            <w:r w:rsidRPr="00A41002">
              <w:rPr>
                <w:noProof/>
                <w:webHidden/>
              </w:rPr>
              <w:tab/>
            </w:r>
            <w:r w:rsidRPr="00A41002">
              <w:rPr>
                <w:noProof/>
                <w:webHidden/>
              </w:rPr>
              <w:fldChar w:fldCharType="begin"/>
            </w:r>
            <w:r w:rsidRPr="00A41002">
              <w:rPr>
                <w:noProof/>
                <w:webHidden/>
              </w:rPr>
              <w:instrText xml:space="preserve"> PAGEREF _Toc198028402 \h </w:instrText>
            </w:r>
            <w:r w:rsidRPr="00A41002">
              <w:rPr>
                <w:noProof/>
                <w:webHidden/>
              </w:rPr>
            </w:r>
            <w:r w:rsidRPr="00A41002">
              <w:rPr>
                <w:noProof/>
                <w:webHidden/>
              </w:rPr>
              <w:fldChar w:fldCharType="separate"/>
            </w:r>
            <w:r w:rsidR="004A0538">
              <w:rPr>
                <w:noProof/>
                <w:webHidden/>
              </w:rPr>
              <w:t>8</w:t>
            </w:r>
            <w:r w:rsidRPr="00A41002">
              <w:rPr>
                <w:noProof/>
                <w:webHidden/>
              </w:rPr>
              <w:fldChar w:fldCharType="end"/>
            </w:r>
          </w:hyperlink>
        </w:p>
        <w:p w14:paraId="220D539B" w14:textId="7C0333DD" w:rsidR="00D2219C" w:rsidRPr="00A41002" w:rsidRDefault="00D2219C">
          <w:pPr>
            <w:pStyle w:val="TDC2"/>
            <w:rPr>
              <w:rFonts w:asciiTheme="minorHAnsi" w:eastAsiaTheme="minorEastAsia" w:hAnsiTheme="minorHAnsi" w:cstheme="minorBidi"/>
              <w:noProof/>
              <w:kern w:val="2"/>
              <w:sz w:val="24"/>
              <w:lang w:val="es-419" w:eastAsia="es-419"/>
              <w14:ligatures w14:val="standardContextual"/>
            </w:rPr>
          </w:pPr>
          <w:hyperlink w:anchor="_Toc198028403" w:history="1">
            <w:r w:rsidRPr="00A41002">
              <w:rPr>
                <w:rStyle w:val="Hipervnculo"/>
                <w:rFonts w:eastAsiaTheme="majorEastAsia" w:cstheme="majorBidi"/>
                <w:noProof/>
              </w:rPr>
              <w:t>SEGUNDO. Resolución de incidente de ejecución defectuosa de la diligencia de apertura del paquete electoral de la elección de Xcumpich, Mérida, Yucatán.</w:t>
            </w:r>
            <w:r w:rsidRPr="00A41002">
              <w:rPr>
                <w:noProof/>
                <w:webHidden/>
              </w:rPr>
              <w:tab/>
            </w:r>
            <w:r w:rsidRPr="00A41002">
              <w:rPr>
                <w:noProof/>
                <w:webHidden/>
              </w:rPr>
              <w:fldChar w:fldCharType="begin"/>
            </w:r>
            <w:r w:rsidRPr="00A41002">
              <w:rPr>
                <w:noProof/>
                <w:webHidden/>
              </w:rPr>
              <w:instrText xml:space="preserve"> PAGEREF _Toc198028403 \h </w:instrText>
            </w:r>
            <w:r w:rsidRPr="00A41002">
              <w:rPr>
                <w:noProof/>
                <w:webHidden/>
              </w:rPr>
            </w:r>
            <w:r w:rsidRPr="00A41002">
              <w:rPr>
                <w:noProof/>
                <w:webHidden/>
              </w:rPr>
              <w:fldChar w:fldCharType="separate"/>
            </w:r>
            <w:r w:rsidR="004A0538">
              <w:rPr>
                <w:noProof/>
                <w:webHidden/>
              </w:rPr>
              <w:t>9</w:t>
            </w:r>
            <w:r w:rsidRPr="00A41002">
              <w:rPr>
                <w:noProof/>
                <w:webHidden/>
              </w:rPr>
              <w:fldChar w:fldCharType="end"/>
            </w:r>
          </w:hyperlink>
        </w:p>
        <w:p w14:paraId="744D16BB" w14:textId="19B85298" w:rsidR="00D2219C" w:rsidRPr="00A41002" w:rsidRDefault="00D2219C">
          <w:pPr>
            <w:pStyle w:val="TDC2"/>
            <w:rPr>
              <w:rFonts w:asciiTheme="minorHAnsi" w:eastAsiaTheme="minorEastAsia" w:hAnsiTheme="minorHAnsi" w:cstheme="minorBidi"/>
              <w:noProof/>
              <w:kern w:val="2"/>
              <w:sz w:val="24"/>
              <w:lang w:val="es-419" w:eastAsia="es-419"/>
              <w14:ligatures w14:val="standardContextual"/>
            </w:rPr>
          </w:pPr>
          <w:hyperlink w:anchor="_Toc198028404" w:history="1">
            <w:r w:rsidRPr="00A41002">
              <w:rPr>
                <w:rStyle w:val="Hipervnculo"/>
                <w:iCs/>
                <w:noProof/>
              </w:rPr>
              <w:t>TERCERO. Tercera interesada.</w:t>
            </w:r>
            <w:r w:rsidRPr="00A41002">
              <w:rPr>
                <w:noProof/>
                <w:webHidden/>
              </w:rPr>
              <w:tab/>
            </w:r>
            <w:r w:rsidRPr="00A41002">
              <w:rPr>
                <w:noProof/>
                <w:webHidden/>
              </w:rPr>
              <w:fldChar w:fldCharType="begin"/>
            </w:r>
            <w:r w:rsidRPr="00A41002">
              <w:rPr>
                <w:noProof/>
                <w:webHidden/>
              </w:rPr>
              <w:instrText xml:space="preserve"> PAGEREF _Toc198028404 \h </w:instrText>
            </w:r>
            <w:r w:rsidRPr="00A41002">
              <w:rPr>
                <w:noProof/>
                <w:webHidden/>
              </w:rPr>
            </w:r>
            <w:r w:rsidRPr="00A41002">
              <w:rPr>
                <w:noProof/>
                <w:webHidden/>
              </w:rPr>
              <w:fldChar w:fldCharType="separate"/>
            </w:r>
            <w:r w:rsidR="004A0538">
              <w:rPr>
                <w:noProof/>
                <w:webHidden/>
              </w:rPr>
              <w:t>21</w:t>
            </w:r>
            <w:r w:rsidRPr="00A41002">
              <w:rPr>
                <w:noProof/>
                <w:webHidden/>
              </w:rPr>
              <w:fldChar w:fldCharType="end"/>
            </w:r>
          </w:hyperlink>
        </w:p>
        <w:p w14:paraId="4C6DF154" w14:textId="303B08E5" w:rsidR="00D2219C" w:rsidRPr="00A41002" w:rsidRDefault="00D2219C">
          <w:pPr>
            <w:pStyle w:val="TDC2"/>
            <w:rPr>
              <w:rFonts w:asciiTheme="minorHAnsi" w:eastAsiaTheme="minorEastAsia" w:hAnsiTheme="minorHAnsi" w:cstheme="minorBidi"/>
              <w:noProof/>
              <w:kern w:val="2"/>
              <w:sz w:val="24"/>
              <w:lang w:val="es-419" w:eastAsia="es-419"/>
              <w14:ligatures w14:val="standardContextual"/>
            </w:rPr>
          </w:pPr>
          <w:hyperlink w:anchor="_Toc198028405" w:history="1">
            <w:r w:rsidRPr="00A41002">
              <w:rPr>
                <w:rStyle w:val="Hipervnculo"/>
                <w:iCs/>
                <w:noProof/>
              </w:rPr>
              <w:t>CUARTO. Causal de improcedencia</w:t>
            </w:r>
            <w:r w:rsidRPr="00A41002">
              <w:rPr>
                <w:noProof/>
                <w:webHidden/>
              </w:rPr>
              <w:tab/>
            </w:r>
            <w:r w:rsidRPr="00A41002">
              <w:rPr>
                <w:noProof/>
                <w:webHidden/>
              </w:rPr>
              <w:fldChar w:fldCharType="begin"/>
            </w:r>
            <w:r w:rsidRPr="00A41002">
              <w:rPr>
                <w:noProof/>
                <w:webHidden/>
              </w:rPr>
              <w:instrText xml:space="preserve"> PAGEREF _Toc198028405 \h </w:instrText>
            </w:r>
            <w:r w:rsidRPr="00A41002">
              <w:rPr>
                <w:noProof/>
                <w:webHidden/>
              </w:rPr>
            </w:r>
            <w:r w:rsidRPr="00A41002">
              <w:rPr>
                <w:noProof/>
                <w:webHidden/>
              </w:rPr>
              <w:fldChar w:fldCharType="separate"/>
            </w:r>
            <w:r w:rsidR="004A0538">
              <w:rPr>
                <w:noProof/>
                <w:webHidden/>
              </w:rPr>
              <w:t>23</w:t>
            </w:r>
            <w:r w:rsidRPr="00A41002">
              <w:rPr>
                <w:noProof/>
                <w:webHidden/>
              </w:rPr>
              <w:fldChar w:fldCharType="end"/>
            </w:r>
          </w:hyperlink>
        </w:p>
        <w:p w14:paraId="30D004D9" w14:textId="67AB81E0" w:rsidR="00D2219C" w:rsidRPr="00A41002" w:rsidRDefault="00D2219C">
          <w:pPr>
            <w:pStyle w:val="TDC2"/>
            <w:rPr>
              <w:rFonts w:asciiTheme="minorHAnsi" w:eastAsiaTheme="minorEastAsia" w:hAnsiTheme="minorHAnsi" w:cstheme="minorBidi"/>
              <w:noProof/>
              <w:kern w:val="2"/>
              <w:sz w:val="24"/>
              <w:lang w:val="es-419" w:eastAsia="es-419"/>
              <w14:ligatures w14:val="standardContextual"/>
            </w:rPr>
          </w:pPr>
          <w:hyperlink w:anchor="_Toc198028406" w:history="1">
            <w:r w:rsidRPr="00A41002">
              <w:rPr>
                <w:rStyle w:val="Hipervnculo"/>
                <w:noProof/>
              </w:rPr>
              <w:t>QUINTO. Requisitos de procedencia</w:t>
            </w:r>
            <w:r w:rsidRPr="00A41002">
              <w:rPr>
                <w:noProof/>
                <w:webHidden/>
              </w:rPr>
              <w:tab/>
            </w:r>
            <w:r w:rsidRPr="00A41002">
              <w:rPr>
                <w:noProof/>
                <w:webHidden/>
              </w:rPr>
              <w:fldChar w:fldCharType="begin"/>
            </w:r>
            <w:r w:rsidRPr="00A41002">
              <w:rPr>
                <w:noProof/>
                <w:webHidden/>
              </w:rPr>
              <w:instrText xml:space="preserve"> PAGEREF _Toc198028406 \h </w:instrText>
            </w:r>
            <w:r w:rsidRPr="00A41002">
              <w:rPr>
                <w:noProof/>
                <w:webHidden/>
              </w:rPr>
            </w:r>
            <w:r w:rsidRPr="00A41002">
              <w:rPr>
                <w:noProof/>
                <w:webHidden/>
              </w:rPr>
              <w:fldChar w:fldCharType="separate"/>
            </w:r>
            <w:r w:rsidR="004A0538">
              <w:rPr>
                <w:noProof/>
                <w:webHidden/>
              </w:rPr>
              <w:t>24</w:t>
            </w:r>
            <w:r w:rsidRPr="00A41002">
              <w:rPr>
                <w:noProof/>
                <w:webHidden/>
              </w:rPr>
              <w:fldChar w:fldCharType="end"/>
            </w:r>
          </w:hyperlink>
        </w:p>
        <w:p w14:paraId="3756D0CC" w14:textId="271459F7" w:rsidR="00D2219C" w:rsidRPr="00A41002" w:rsidRDefault="00D2219C">
          <w:pPr>
            <w:pStyle w:val="TDC2"/>
            <w:rPr>
              <w:rFonts w:asciiTheme="minorHAnsi" w:eastAsiaTheme="minorEastAsia" w:hAnsiTheme="minorHAnsi" w:cstheme="minorBidi"/>
              <w:noProof/>
              <w:kern w:val="2"/>
              <w:sz w:val="24"/>
              <w:lang w:val="es-419" w:eastAsia="es-419"/>
              <w14:ligatures w14:val="standardContextual"/>
            </w:rPr>
          </w:pPr>
          <w:hyperlink w:anchor="_Toc198028407" w:history="1">
            <w:r w:rsidRPr="00A41002">
              <w:rPr>
                <w:rStyle w:val="Hipervnculo"/>
                <w:noProof/>
              </w:rPr>
              <w:t>SEXTO. Estudio de fondo</w:t>
            </w:r>
            <w:r w:rsidRPr="00A41002">
              <w:rPr>
                <w:noProof/>
                <w:webHidden/>
              </w:rPr>
              <w:tab/>
            </w:r>
            <w:r w:rsidRPr="00A41002">
              <w:rPr>
                <w:noProof/>
                <w:webHidden/>
              </w:rPr>
              <w:fldChar w:fldCharType="begin"/>
            </w:r>
            <w:r w:rsidRPr="00A41002">
              <w:rPr>
                <w:noProof/>
                <w:webHidden/>
              </w:rPr>
              <w:instrText xml:space="preserve"> PAGEREF _Toc198028407 \h </w:instrText>
            </w:r>
            <w:r w:rsidRPr="00A41002">
              <w:rPr>
                <w:noProof/>
                <w:webHidden/>
              </w:rPr>
            </w:r>
            <w:r w:rsidRPr="00A41002">
              <w:rPr>
                <w:noProof/>
                <w:webHidden/>
              </w:rPr>
              <w:fldChar w:fldCharType="separate"/>
            </w:r>
            <w:r w:rsidR="004A0538">
              <w:rPr>
                <w:noProof/>
                <w:webHidden/>
              </w:rPr>
              <w:t>26</w:t>
            </w:r>
            <w:r w:rsidRPr="00A41002">
              <w:rPr>
                <w:noProof/>
                <w:webHidden/>
              </w:rPr>
              <w:fldChar w:fldCharType="end"/>
            </w:r>
          </w:hyperlink>
        </w:p>
        <w:p w14:paraId="18950564" w14:textId="7D4A0D64" w:rsidR="00D2219C" w:rsidRPr="00A41002" w:rsidRDefault="00D2219C">
          <w:pPr>
            <w:pStyle w:val="TDC1"/>
            <w:rPr>
              <w:rFonts w:asciiTheme="minorHAnsi" w:eastAsiaTheme="minorEastAsia" w:hAnsiTheme="minorHAnsi" w:cstheme="minorBidi"/>
              <w:spacing w:val="0"/>
              <w:kern w:val="2"/>
              <w:lang w:val="es-419" w:eastAsia="es-419"/>
              <w14:ligatures w14:val="standardContextual"/>
            </w:rPr>
          </w:pPr>
          <w:hyperlink w:anchor="_Toc198028408" w:history="1">
            <w:r w:rsidRPr="00A41002">
              <w:rPr>
                <w:rStyle w:val="Hipervnculo"/>
                <w:spacing w:val="100"/>
              </w:rPr>
              <w:t>RESUELVE</w:t>
            </w:r>
            <w:r w:rsidRPr="00A41002">
              <w:rPr>
                <w:webHidden/>
              </w:rPr>
              <w:tab/>
            </w:r>
            <w:r w:rsidRPr="00A41002">
              <w:rPr>
                <w:webHidden/>
              </w:rPr>
              <w:fldChar w:fldCharType="begin"/>
            </w:r>
            <w:r w:rsidRPr="00A41002">
              <w:rPr>
                <w:webHidden/>
              </w:rPr>
              <w:instrText xml:space="preserve"> PAGEREF _Toc198028408 \h </w:instrText>
            </w:r>
            <w:r w:rsidRPr="00A41002">
              <w:rPr>
                <w:webHidden/>
              </w:rPr>
            </w:r>
            <w:r w:rsidRPr="00A41002">
              <w:rPr>
                <w:webHidden/>
              </w:rPr>
              <w:fldChar w:fldCharType="separate"/>
            </w:r>
            <w:r w:rsidR="004A0538">
              <w:rPr>
                <w:webHidden/>
              </w:rPr>
              <w:t>50</w:t>
            </w:r>
            <w:r w:rsidRPr="00A41002">
              <w:rPr>
                <w:webHidden/>
              </w:rPr>
              <w:fldChar w:fldCharType="end"/>
            </w:r>
          </w:hyperlink>
        </w:p>
        <w:p w14:paraId="679B1DE8" w14:textId="27FC9AA8" w:rsidR="00486A12" w:rsidRPr="00A41002" w:rsidRDefault="00AF31C9" w:rsidP="00E845C7">
          <w:pPr>
            <w:pStyle w:val="TDC1"/>
            <w:rPr>
              <w:lang w:val="es-ES"/>
            </w:rPr>
          </w:pPr>
          <w:r w:rsidRPr="00A41002">
            <w:rPr>
              <w:lang w:val="es-ES"/>
            </w:rPr>
            <w:fldChar w:fldCharType="end"/>
          </w:r>
        </w:p>
      </w:sdtContent>
    </w:sdt>
    <w:p w14:paraId="4C85FAB0" w14:textId="6D79756F" w:rsidR="00AF31C9" w:rsidRPr="00A41002" w:rsidRDefault="00AF31C9" w:rsidP="00E845C7">
      <w:pPr>
        <w:pStyle w:val="TDC1"/>
      </w:pPr>
      <w:r w:rsidRPr="00A41002">
        <w:rPr>
          <w:rFonts w:eastAsia="Times New Roman" w:cs="Times New Roman"/>
          <w:sz w:val="28"/>
        </w:rPr>
        <w:fldChar w:fldCharType="begin"/>
      </w:r>
      <w:r w:rsidRPr="00A41002">
        <w:instrText xml:space="preserve"> TOC \o "1-2" \h \z \u </w:instrText>
      </w:r>
      <w:r w:rsidRPr="00A41002">
        <w:rPr>
          <w:rFonts w:eastAsia="Times New Roman" w:cs="Times New Roman"/>
          <w:sz w:val="28"/>
        </w:rPr>
        <w:fldChar w:fldCharType="separate"/>
      </w:r>
    </w:p>
    <w:p w14:paraId="4AEF14C4" w14:textId="77777777" w:rsidR="00AF31C9" w:rsidRPr="00A41002" w:rsidRDefault="00AF31C9" w:rsidP="00E845C7">
      <w:pPr>
        <w:pStyle w:val="Ttulo1"/>
        <w:spacing w:before="240" w:beforeAutospacing="1" w:after="100" w:afterAutospacing="1"/>
        <w:jc w:val="center"/>
        <w:rPr>
          <w:rFonts w:ascii="Univers" w:hAnsi="Univers"/>
          <w:b/>
          <w:bCs/>
          <w:color w:val="auto"/>
          <w:spacing w:val="100"/>
          <w:sz w:val="28"/>
          <w:szCs w:val="28"/>
          <w:lang w:eastAsia="es-MX"/>
        </w:rPr>
      </w:pPr>
      <w:r w:rsidRPr="00A41002">
        <w:rPr>
          <w:rFonts w:ascii="Univers" w:hAnsi="Univers"/>
          <w:sz w:val="24"/>
          <w:szCs w:val="24"/>
        </w:rPr>
        <w:fldChar w:fldCharType="end"/>
      </w:r>
      <w:bookmarkStart w:id="9" w:name="_Toc492314773"/>
      <w:bookmarkStart w:id="10" w:name="_Toc58454000"/>
      <w:bookmarkStart w:id="11" w:name="_Toc135995569"/>
      <w:bookmarkStart w:id="12" w:name="_Toc198028397"/>
      <w:bookmarkEnd w:id="6"/>
      <w:r w:rsidRPr="00A41002">
        <w:rPr>
          <w:rFonts w:ascii="Univers" w:hAnsi="Univers"/>
          <w:b/>
          <w:bCs/>
          <w:color w:val="auto"/>
          <w:spacing w:val="100"/>
          <w:sz w:val="28"/>
          <w:szCs w:val="28"/>
          <w:lang w:eastAsia="es-MX"/>
        </w:rPr>
        <w:t>SUMARIO DE LA DECISIÓN</w:t>
      </w:r>
      <w:bookmarkEnd w:id="9"/>
      <w:bookmarkEnd w:id="10"/>
      <w:bookmarkEnd w:id="11"/>
      <w:bookmarkEnd w:id="12"/>
    </w:p>
    <w:p w14:paraId="170CBC8D" w14:textId="1F857913" w:rsidR="005A12A4" w:rsidRPr="00A41002" w:rsidRDefault="0080226D" w:rsidP="00AF31C9">
      <w:pPr>
        <w:pStyle w:val="numerados"/>
        <w:numPr>
          <w:ilvl w:val="0"/>
          <w:numId w:val="0"/>
        </w:numPr>
        <w:rPr>
          <w:lang w:eastAsia="es-MX"/>
        </w:rPr>
      </w:pPr>
      <w:bookmarkStart w:id="13" w:name="_Toc492314774"/>
      <w:bookmarkStart w:id="14" w:name="_Toc58454001"/>
      <w:r w:rsidRPr="00A41002">
        <w:rPr>
          <w:lang w:eastAsia="es-MX"/>
        </w:rPr>
        <w:t>Previo a resolver el fondo, e</w:t>
      </w:r>
      <w:r w:rsidR="00AF31C9" w:rsidRPr="00A41002">
        <w:rPr>
          <w:lang w:eastAsia="es-MX"/>
        </w:rPr>
        <w:t>sta Sala Regional</w:t>
      </w:r>
      <w:r w:rsidR="00C12D91" w:rsidRPr="00A41002">
        <w:rPr>
          <w:lang w:eastAsia="es-MX"/>
        </w:rPr>
        <w:t xml:space="preserve"> determin</w:t>
      </w:r>
      <w:r w:rsidR="004E696F" w:rsidRPr="00A41002">
        <w:rPr>
          <w:lang w:eastAsia="es-MX"/>
        </w:rPr>
        <w:t>a</w:t>
      </w:r>
      <w:r w:rsidR="00D52977" w:rsidRPr="00A41002">
        <w:rPr>
          <w:lang w:eastAsia="es-MX"/>
        </w:rPr>
        <w:t xml:space="preserve"> declarar </w:t>
      </w:r>
      <w:r w:rsidR="00D52977" w:rsidRPr="00A41002">
        <w:rPr>
          <w:b/>
          <w:bCs/>
          <w:lang w:eastAsia="es-MX"/>
        </w:rPr>
        <w:t>infundado</w:t>
      </w:r>
      <w:r w:rsidR="00D52977" w:rsidRPr="00A41002">
        <w:rPr>
          <w:lang w:eastAsia="es-MX"/>
        </w:rPr>
        <w:t xml:space="preserve"> el incidente de cumplimiento defectuoso</w:t>
      </w:r>
      <w:r w:rsidR="005A12A4" w:rsidRPr="00A41002">
        <w:rPr>
          <w:lang w:eastAsia="es-MX"/>
        </w:rPr>
        <w:t xml:space="preserve"> del acuerdo de sala dictado por est</w:t>
      </w:r>
      <w:r w:rsidR="001A02C6" w:rsidRPr="00A41002">
        <w:rPr>
          <w:lang w:eastAsia="es-MX"/>
        </w:rPr>
        <w:t>a</w:t>
      </w:r>
      <w:r w:rsidR="005A12A4" w:rsidRPr="00A41002">
        <w:rPr>
          <w:lang w:eastAsia="es-MX"/>
        </w:rPr>
        <w:t xml:space="preserve"> </w:t>
      </w:r>
      <w:r w:rsidRPr="00A41002">
        <w:rPr>
          <w:lang w:eastAsia="es-MX"/>
        </w:rPr>
        <w:t>Sala Regional</w:t>
      </w:r>
      <w:r w:rsidR="00B1459A" w:rsidRPr="00A41002">
        <w:rPr>
          <w:lang w:eastAsia="es-MX"/>
        </w:rPr>
        <w:t xml:space="preserve"> </w:t>
      </w:r>
      <w:r w:rsidRPr="00A41002">
        <w:rPr>
          <w:lang w:eastAsia="es-MX"/>
        </w:rPr>
        <w:t xml:space="preserve">respecto a la diligencia de apertura de paquete electoral por parte del funcionariado del Tribunal Electoral local y el Ayuntamiento de Mérida, Yucatán, </w:t>
      </w:r>
      <w:r w:rsidR="00B1459A" w:rsidRPr="00A41002">
        <w:rPr>
          <w:lang w:eastAsia="es-MX"/>
        </w:rPr>
        <w:lastRenderedPageBreak/>
        <w:t>debido a que</w:t>
      </w:r>
      <w:r w:rsidRPr="00A41002">
        <w:rPr>
          <w:lang w:eastAsia="es-MX"/>
        </w:rPr>
        <w:t xml:space="preserve"> éstos</w:t>
      </w:r>
      <w:r w:rsidR="00B1459A" w:rsidRPr="00A41002">
        <w:rPr>
          <w:lang w:eastAsia="es-MX"/>
        </w:rPr>
        <w:t xml:space="preserve"> </w:t>
      </w:r>
      <w:r w:rsidRPr="00A41002">
        <w:rPr>
          <w:lang w:eastAsia="es-MX"/>
        </w:rPr>
        <w:t>se apegaron estrictamente</w:t>
      </w:r>
      <w:r w:rsidR="005471CD" w:rsidRPr="00A41002">
        <w:rPr>
          <w:lang w:eastAsia="es-MX"/>
        </w:rPr>
        <w:t xml:space="preserve"> a lo ordenado en el acuerdo referido</w:t>
      </w:r>
      <w:r w:rsidR="005A12A4" w:rsidRPr="00A41002">
        <w:rPr>
          <w:lang w:eastAsia="es-MX"/>
        </w:rPr>
        <w:t>.</w:t>
      </w:r>
    </w:p>
    <w:p w14:paraId="50FC9372" w14:textId="00179999" w:rsidR="00AF31C9" w:rsidRPr="00A41002" w:rsidRDefault="005A12A4" w:rsidP="00AF31C9">
      <w:pPr>
        <w:pStyle w:val="numerados"/>
        <w:numPr>
          <w:ilvl w:val="0"/>
          <w:numId w:val="0"/>
        </w:numPr>
        <w:rPr>
          <w:lang w:val="es-419"/>
        </w:rPr>
      </w:pPr>
      <w:r w:rsidRPr="00A41002">
        <w:rPr>
          <w:lang w:eastAsia="es-MX"/>
        </w:rPr>
        <w:t xml:space="preserve">Por otra </w:t>
      </w:r>
      <w:r w:rsidR="002D5019" w:rsidRPr="00A41002">
        <w:rPr>
          <w:lang w:eastAsia="es-MX"/>
        </w:rPr>
        <w:t>parte,</w:t>
      </w:r>
      <w:r w:rsidRPr="00A41002">
        <w:rPr>
          <w:lang w:eastAsia="es-MX"/>
        </w:rPr>
        <w:t xml:space="preserve"> se determina</w:t>
      </w:r>
      <w:r w:rsidR="004E696F" w:rsidRPr="00A41002">
        <w:rPr>
          <w:lang w:eastAsia="es-MX"/>
        </w:rPr>
        <w:t xml:space="preserve"> </w:t>
      </w:r>
      <w:r w:rsidR="004E696F" w:rsidRPr="00A41002">
        <w:rPr>
          <w:b/>
          <w:bCs/>
          <w:lang w:eastAsia="es-MX"/>
        </w:rPr>
        <w:t>confirmar</w:t>
      </w:r>
      <w:r w:rsidR="00D625DD" w:rsidRPr="00A41002">
        <w:rPr>
          <w:b/>
          <w:bCs/>
          <w:lang w:eastAsia="es-MX"/>
        </w:rPr>
        <w:t>, por razones distintas,</w:t>
      </w:r>
      <w:r w:rsidR="004E696F" w:rsidRPr="00A41002">
        <w:rPr>
          <w:b/>
          <w:bCs/>
          <w:lang w:eastAsia="es-MX"/>
        </w:rPr>
        <w:t xml:space="preserve"> </w:t>
      </w:r>
      <w:r w:rsidR="005471CD" w:rsidRPr="00A41002">
        <w:rPr>
          <w:lang w:val="es-419"/>
        </w:rPr>
        <w:t>la sentencia controvertida porque</w:t>
      </w:r>
      <w:r w:rsidR="00E40FEF" w:rsidRPr="00A41002">
        <w:rPr>
          <w:lang w:val="es-419"/>
        </w:rPr>
        <w:t xml:space="preserve">, con independencia de lo razonado por el Tribunal Electoral local, </w:t>
      </w:r>
      <w:r w:rsidR="005471CD" w:rsidRPr="00A41002">
        <w:rPr>
          <w:lang w:val="es-419"/>
        </w:rPr>
        <w:t>en este momento</w:t>
      </w:r>
      <w:r w:rsidR="002D5019" w:rsidRPr="00A41002">
        <w:rPr>
          <w:lang w:val="es-419"/>
        </w:rPr>
        <w:t>,</w:t>
      </w:r>
      <w:r w:rsidR="005471CD" w:rsidRPr="00A41002">
        <w:rPr>
          <w:lang w:val="es-419"/>
        </w:rPr>
        <w:t xml:space="preserve"> no es posible </w:t>
      </w:r>
      <w:r w:rsidR="002D5019" w:rsidRPr="00A41002">
        <w:rPr>
          <w:lang w:val="es-419"/>
        </w:rPr>
        <w:t xml:space="preserve">que el actor alcance su pretensión consistente en que los seis votos originalmente calificados como nulos sean recalificados en sede jurisdiccional y, así, estar en posibilidad de </w:t>
      </w:r>
      <w:r w:rsidR="005471CD" w:rsidRPr="00A41002">
        <w:rPr>
          <w:lang w:val="es-419"/>
        </w:rPr>
        <w:t>subsanar la vulneración al principio de certeza</w:t>
      </w:r>
      <w:r w:rsidR="002D5019" w:rsidRPr="00A41002">
        <w:rPr>
          <w:lang w:val="es-419"/>
        </w:rPr>
        <w:t xml:space="preserve"> en la que incurrió el Consejo Electoral</w:t>
      </w:r>
      <w:r w:rsidR="005471CD" w:rsidRPr="00A41002">
        <w:rPr>
          <w:lang w:val="es-419"/>
        </w:rPr>
        <w:t xml:space="preserve">, </w:t>
      </w:r>
      <w:r w:rsidR="00E40FEF" w:rsidRPr="00A41002">
        <w:rPr>
          <w:lang w:val="es-419"/>
        </w:rPr>
        <w:t xml:space="preserve">en atención a </w:t>
      </w:r>
      <w:r w:rsidR="002D5019" w:rsidRPr="00A41002">
        <w:rPr>
          <w:lang w:val="es-419"/>
        </w:rPr>
        <w:t>que dichos votos no son identificables</w:t>
      </w:r>
      <w:r w:rsidR="00E40FEF" w:rsidRPr="00A41002">
        <w:rPr>
          <w:lang w:val="es-419"/>
        </w:rPr>
        <w:t>.</w:t>
      </w:r>
    </w:p>
    <w:p w14:paraId="1AFEF172" w14:textId="77777777" w:rsidR="00AF31C9" w:rsidRPr="00A41002" w:rsidRDefault="00AF31C9" w:rsidP="00E845C7">
      <w:pPr>
        <w:pStyle w:val="Ttulo1"/>
        <w:spacing w:before="240" w:beforeAutospacing="1" w:after="100" w:afterAutospacing="1"/>
        <w:jc w:val="center"/>
        <w:rPr>
          <w:rFonts w:ascii="Univers" w:hAnsi="Univers"/>
          <w:b/>
          <w:bCs/>
          <w:color w:val="auto"/>
          <w:spacing w:val="100"/>
          <w:sz w:val="28"/>
          <w:szCs w:val="28"/>
          <w:lang w:eastAsia="es-MX"/>
        </w:rPr>
      </w:pPr>
      <w:bookmarkStart w:id="15" w:name="_Toc135995570"/>
      <w:bookmarkStart w:id="16" w:name="_Toc198028398"/>
      <w:r w:rsidRPr="00A41002">
        <w:rPr>
          <w:rFonts w:ascii="Univers" w:hAnsi="Univers"/>
          <w:b/>
          <w:bCs/>
          <w:color w:val="auto"/>
          <w:spacing w:val="100"/>
          <w:sz w:val="28"/>
          <w:szCs w:val="28"/>
          <w:lang w:eastAsia="es-MX"/>
        </w:rPr>
        <w:t>ANTECEDENTES</w:t>
      </w:r>
      <w:bookmarkEnd w:id="13"/>
      <w:bookmarkEnd w:id="14"/>
      <w:bookmarkEnd w:id="15"/>
      <w:bookmarkEnd w:id="16"/>
    </w:p>
    <w:p w14:paraId="41815D02" w14:textId="77777777" w:rsidR="00AF31C9" w:rsidRPr="00A41002" w:rsidRDefault="00AF31C9" w:rsidP="00AF31C9">
      <w:pPr>
        <w:pStyle w:val="Ttulo2"/>
        <w:spacing w:after="240"/>
        <w:rPr>
          <w:rFonts w:ascii="Univers" w:hAnsi="Univers"/>
          <w:b/>
          <w:bCs/>
          <w:color w:val="auto"/>
          <w:sz w:val="28"/>
          <w:szCs w:val="28"/>
        </w:rPr>
      </w:pPr>
      <w:bookmarkStart w:id="17" w:name="_Toc481668264"/>
      <w:bookmarkStart w:id="18" w:name="_Toc4407629"/>
      <w:bookmarkStart w:id="19" w:name="_Toc58454002"/>
      <w:bookmarkStart w:id="20" w:name="_Toc135995571"/>
      <w:bookmarkStart w:id="21" w:name="_Toc198028399"/>
      <w:bookmarkStart w:id="22" w:name="_Toc492314776"/>
      <w:bookmarkStart w:id="23" w:name="_Toc482798028"/>
      <w:r w:rsidRPr="00A41002">
        <w:rPr>
          <w:rFonts w:ascii="Univers" w:hAnsi="Univers"/>
          <w:b/>
          <w:bCs/>
          <w:color w:val="auto"/>
          <w:sz w:val="28"/>
          <w:szCs w:val="28"/>
        </w:rPr>
        <w:t>I. Contexto</w:t>
      </w:r>
      <w:bookmarkEnd w:id="17"/>
      <w:bookmarkEnd w:id="18"/>
      <w:bookmarkEnd w:id="19"/>
      <w:bookmarkEnd w:id="20"/>
      <w:bookmarkEnd w:id="21"/>
    </w:p>
    <w:p w14:paraId="124A6688" w14:textId="77777777" w:rsidR="006022DC" w:rsidRPr="00A41002" w:rsidRDefault="006022DC" w:rsidP="006022DC">
      <w:pPr>
        <w:rPr>
          <w:rFonts w:cs="Arial"/>
          <w:lang w:val="es-ES"/>
        </w:rPr>
      </w:pPr>
      <w:r w:rsidRPr="00A41002">
        <w:rPr>
          <w:rFonts w:cs="Arial"/>
          <w:lang w:val="es-ES"/>
        </w:rPr>
        <w:t>De lo narrado por las partes y demás constancias que integran el expediente del presente juicio, se advierte lo siguiente:</w:t>
      </w:r>
    </w:p>
    <w:p w14:paraId="0045C69A" w14:textId="77777777" w:rsidR="00860C21" w:rsidRPr="00A41002" w:rsidRDefault="00860C21" w:rsidP="00860C21">
      <w:pPr>
        <w:pStyle w:val="numerados"/>
        <w:ind w:left="0" w:firstLine="0"/>
        <w:rPr>
          <w:lang w:val="es-ES"/>
        </w:rPr>
      </w:pPr>
      <w:bookmarkStart w:id="24" w:name="_Hlk195035775"/>
      <w:r w:rsidRPr="00A41002">
        <w:rPr>
          <w:b/>
          <w:bCs/>
          <w:lang w:val="es-ES"/>
        </w:rPr>
        <w:t>Convocatoria para la elección de autoridades auxiliares</w:t>
      </w:r>
      <w:r w:rsidRPr="00A41002">
        <w:rPr>
          <w:rStyle w:val="Refdenotaalpie"/>
          <w:rFonts w:eastAsiaTheme="majorEastAsia"/>
          <w:b/>
          <w:bCs/>
          <w:lang w:val="es-ES"/>
        </w:rPr>
        <w:footnoteReference w:id="5"/>
      </w:r>
      <w:r w:rsidRPr="00A41002">
        <w:rPr>
          <w:b/>
          <w:bCs/>
          <w:lang w:val="es-ES"/>
        </w:rPr>
        <w:t xml:space="preserve">. </w:t>
      </w:r>
      <w:r w:rsidRPr="00A41002">
        <w:rPr>
          <w:lang w:val="es-ES"/>
        </w:rPr>
        <w:t>El ocho de noviembre de dos mil veinticuatro, el Ayuntamiento de Mérida, Yucatán, a través del Consejo para la Elección de Autoridades Auxiliares del Ayuntamiento</w:t>
      </w:r>
      <w:r w:rsidRPr="00A41002">
        <w:rPr>
          <w:rStyle w:val="Refdenotaalpie"/>
          <w:rFonts w:eastAsiaTheme="majorEastAsia"/>
          <w:lang w:val="es-ES"/>
        </w:rPr>
        <w:footnoteReference w:id="6"/>
      </w:r>
      <w:r w:rsidRPr="00A41002">
        <w:rPr>
          <w:lang w:val="es-ES"/>
        </w:rPr>
        <w:t xml:space="preserve"> emitió la convocatoria para la elección referida para el periodo 2024-2027, a celebrarse en cuarenta y siete comisarías y subcomisarías del municipio de Mérida, Yucatán.</w:t>
      </w:r>
    </w:p>
    <w:p w14:paraId="0FE0A790" w14:textId="77777777" w:rsidR="00860C21" w:rsidRPr="00A41002" w:rsidRDefault="00860C21" w:rsidP="00860C21">
      <w:pPr>
        <w:pStyle w:val="numerados"/>
        <w:ind w:left="0" w:firstLine="0"/>
        <w:rPr>
          <w:lang w:val="es-ES"/>
        </w:rPr>
      </w:pPr>
      <w:r w:rsidRPr="00A41002">
        <w:rPr>
          <w:b/>
          <w:bCs/>
          <w:lang w:val="es-ES"/>
        </w:rPr>
        <w:lastRenderedPageBreak/>
        <w:t>Jornada electoral.</w:t>
      </w:r>
      <w:r w:rsidRPr="00A41002">
        <w:rPr>
          <w:lang w:val="es-ES"/>
        </w:rPr>
        <w:t xml:space="preserve"> El veinticuatro de noviembre siguiente, se llevó a cabo la jornada electoral de las autoridades auxiliares del ayuntamiento de Mérida, Yucatán, en la que el hoy actor resultó electo como comisario municipal de </w:t>
      </w:r>
      <w:proofErr w:type="spellStart"/>
      <w:r w:rsidRPr="00A41002">
        <w:rPr>
          <w:lang w:val="es-ES"/>
        </w:rPr>
        <w:t>Xcumpich</w:t>
      </w:r>
      <w:proofErr w:type="spellEnd"/>
      <w:r w:rsidRPr="00A41002">
        <w:rPr>
          <w:lang w:val="es-ES"/>
        </w:rPr>
        <w:t>, perteneciente al referido municipio.</w:t>
      </w:r>
    </w:p>
    <w:p w14:paraId="3888F9D5" w14:textId="77777777" w:rsidR="00860C21" w:rsidRPr="00A41002" w:rsidRDefault="00860C21" w:rsidP="00860C21">
      <w:pPr>
        <w:pStyle w:val="numerados"/>
        <w:ind w:left="0" w:firstLine="0"/>
        <w:rPr>
          <w:lang w:val="es-ES"/>
        </w:rPr>
      </w:pPr>
      <w:r w:rsidRPr="00A41002">
        <w:rPr>
          <w:b/>
          <w:bCs/>
          <w:lang w:val="es-ES"/>
        </w:rPr>
        <w:t xml:space="preserve">Demanda local. </w:t>
      </w:r>
      <w:bookmarkStart w:id="25" w:name="_Hlk195174841"/>
      <w:r w:rsidRPr="00A41002">
        <w:rPr>
          <w:lang w:val="es-ES"/>
        </w:rPr>
        <w:t>El veintiocho de noviembre de dos mil veinticuatro</w:t>
      </w:r>
      <w:r w:rsidRPr="00A41002">
        <w:t>,</w:t>
      </w:r>
      <w:r w:rsidRPr="00A41002">
        <w:rPr>
          <w:lang w:val="es-ES"/>
        </w:rPr>
        <w:t xml:space="preserve"> la ciudadana Gabina Del Rosario Mex Vivas, otrora candidata propietaria para la comisaría de </w:t>
      </w:r>
      <w:proofErr w:type="spellStart"/>
      <w:r w:rsidRPr="00A41002">
        <w:rPr>
          <w:lang w:val="es-ES"/>
        </w:rPr>
        <w:t>Xcumpich</w:t>
      </w:r>
      <w:proofErr w:type="spellEnd"/>
      <w:r w:rsidRPr="00A41002">
        <w:rPr>
          <w:lang w:val="es-ES"/>
        </w:rPr>
        <w:t xml:space="preserve">, ante el Tribunal Electoral del Estado de Yucatán promovió juicio de la ciudadanía local, en contra de los resultados de la elección de autoridades auxiliares en </w:t>
      </w:r>
      <w:proofErr w:type="spellStart"/>
      <w:r w:rsidRPr="00A41002">
        <w:rPr>
          <w:lang w:val="es-ES"/>
        </w:rPr>
        <w:t>Xcumpich</w:t>
      </w:r>
      <w:proofErr w:type="spellEnd"/>
      <w:r w:rsidRPr="00A41002">
        <w:rPr>
          <w:lang w:val="es-ES"/>
        </w:rPr>
        <w:t xml:space="preserve"> en Mérida, Yucatán.</w:t>
      </w:r>
    </w:p>
    <w:p w14:paraId="79E54343" w14:textId="1C236AB4" w:rsidR="00860C21" w:rsidRPr="00A41002" w:rsidRDefault="00860C21" w:rsidP="00860C21">
      <w:pPr>
        <w:pStyle w:val="numerados"/>
        <w:ind w:left="0" w:firstLine="0"/>
        <w:rPr>
          <w:lang w:val="es-ES"/>
        </w:rPr>
      </w:pPr>
      <w:r w:rsidRPr="00A41002">
        <w:rPr>
          <w:lang w:val="es-ES"/>
        </w:rPr>
        <w:t xml:space="preserve">Dicho medio de impugnación fue </w:t>
      </w:r>
      <w:r w:rsidRPr="00A41002">
        <w:t>registrado</w:t>
      </w:r>
      <w:r w:rsidR="0080226D" w:rsidRPr="00A41002">
        <w:t xml:space="preserve"> </w:t>
      </w:r>
      <w:r w:rsidR="0080226D" w:rsidRPr="00A41002">
        <w:rPr>
          <w:lang w:val="es-ES"/>
        </w:rPr>
        <w:t>con</w:t>
      </w:r>
      <w:r w:rsidRPr="00A41002">
        <w:rPr>
          <w:lang w:val="es-ES"/>
        </w:rPr>
        <w:t xml:space="preserve"> el número de expediente </w:t>
      </w:r>
      <w:r w:rsidRPr="00A41002">
        <w:rPr>
          <w:b/>
          <w:bCs/>
          <w:lang w:val="es-ES"/>
        </w:rPr>
        <w:t>JDC-093/2024</w:t>
      </w:r>
      <w:r w:rsidRPr="00A41002">
        <w:rPr>
          <w:lang w:val="es-ES"/>
        </w:rPr>
        <w:t>.</w:t>
      </w:r>
    </w:p>
    <w:bookmarkEnd w:id="25"/>
    <w:p w14:paraId="6B52606A" w14:textId="77777777" w:rsidR="00860C21" w:rsidRPr="00A41002" w:rsidRDefault="00860C21" w:rsidP="00860C21">
      <w:pPr>
        <w:pStyle w:val="numerados"/>
        <w:ind w:left="0" w:firstLine="0"/>
        <w:rPr>
          <w:bCs/>
        </w:rPr>
      </w:pPr>
      <w:r w:rsidRPr="00A41002">
        <w:rPr>
          <w:b/>
          <w:bCs/>
          <w:lang w:val="es-ES"/>
        </w:rPr>
        <w:t>Sentencia impugnada.</w:t>
      </w:r>
      <w:r w:rsidRPr="00A41002">
        <w:rPr>
          <w:lang w:val="es-ES"/>
        </w:rPr>
        <w:t xml:space="preserve"> El catorce de marzo de dos mil veinticinco</w:t>
      </w:r>
      <w:r w:rsidRPr="00A41002">
        <w:rPr>
          <w:rStyle w:val="Refdenotaalpie"/>
          <w:rFonts w:eastAsiaTheme="majorEastAsia"/>
          <w:lang w:val="es-ES"/>
        </w:rPr>
        <w:footnoteReference w:id="7"/>
      </w:r>
      <w:r w:rsidRPr="00A41002">
        <w:rPr>
          <w:lang w:val="es-ES"/>
        </w:rPr>
        <w:t>, el Tribunal Electoral local dictó sentencia en el juicio JDC-093/2024, en la que</w:t>
      </w:r>
      <w:r w:rsidRPr="00A41002">
        <w:t xml:space="preserve"> declaró la nulidad de la elección de autoridades auxiliares correspondiente a la Comisaría de </w:t>
      </w:r>
      <w:proofErr w:type="spellStart"/>
      <w:r w:rsidRPr="00A41002">
        <w:t>Xcumpich</w:t>
      </w:r>
      <w:proofErr w:type="spellEnd"/>
      <w:r w:rsidRPr="00A41002">
        <w:t>, en Mérida, Yucatán y, por consiguiente, revocó</w:t>
      </w:r>
      <w:r w:rsidRPr="00A41002">
        <w:rPr>
          <w:lang w:val="es-ES"/>
        </w:rPr>
        <w:t xml:space="preserve"> </w:t>
      </w:r>
      <w:r w:rsidRPr="00A41002">
        <w:t>la designación del hoy actor como comisario municipal.</w:t>
      </w:r>
    </w:p>
    <w:p w14:paraId="252C0959" w14:textId="3400F4D7" w:rsidR="00AF31C9" w:rsidRPr="00A41002" w:rsidRDefault="00860C21" w:rsidP="00860C21">
      <w:pPr>
        <w:pStyle w:val="numerados"/>
        <w:ind w:left="0" w:firstLine="0"/>
        <w:rPr>
          <w:bCs/>
        </w:rPr>
      </w:pPr>
      <w:r w:rsidRPr="00A41002">
        <w:t>Asimismo,</w:t>
      </w:r>
      <w:r w:rsidRPr="00A41002">
        <w:rPr>
          <w:b/>
          <w:bCs/>
        </w:rPr>
        <w:t xml:space="preserve"> </w:t>
      </w:r>
      <w:r w:rsidRPr="00A41002">
        <w:t>ordenó al ayuntamiento de Mérida, Yucatán, que</w:t>
      </w:r>
      <w:r w:rsidR="0080226D" w:rsidRPr="00A41002">
        <w:t>,</w:t>
      </w:r>
      <w:r w:rsidRPr="00A41002">
        <w:t xml:space="preserve"> de manera inmediata</w:t>
      </w:r>
      <w:r w:rsidR="0080226D" w:rsidRPr="00A41002">
        <w:t>,</w:t>
      </w:r>
      <w:r w:rsidRPr="00A41002">
        <w:t xml:space="preserve"> realizara los actos necesarios a fin de organizar y celebrar una elección extraordinaria en dicha Comisaría</w:t>
      </w:r>
      <w:r w:rsidR="00C65C39" w:rsidRPr="00A41002">
        <w:t>.</w:t>
      </w:r>
    </w:p>
    <w:p w14:paraId="256F5807" w14:textId="443DC982" w:rsidR="00AF31C9" w:rsidRPr="00A41002" w:rsidRDefault="00AF31C9" w:rsidP="00AF31C9">
      <w:pPr>
        <w:pStyle w:val="Ttulo2"/>
        <w:spacing w:before="360" w:after="240"/>
        <w:rPr>
          <w:rFonts w:ascii="Univers" w:hAnsi="Univers"/>
          <w:b/>
          <w:bCs/>
          <w:color w:val="auto"/>
          <w:sz w:val="28"/>
          <w:szCs w:val="28"/>
        </w:rPr>
      </w:pPr>
      <w:bookmarkStart w:id="26" w:name="_Toc473306030"/>
      <w:bookmarkStart w:id="27" w:name="_Toc481668265"/>
      <w:bookmarkStart w:id="28" w:name="_Toc4407630"/>
      <w:bookmarkStart w:id="29" w:name="_Toc58454003"/>
      <w:bookmarkStart w:id="30" w:name="_Toc135995572"/>
      <w:bookmarkStart w:id="31" w:name="_Toc198028400"/>
      <w:r w:rsidRPr="00A41002">
        <w:rPr>
          <w:rFonts w:ascii="Univers" w:hAnsi="Univers"/>
          <w:b/>
          <w:bCs/>
          <w:color w:val="auto"/>
          <w:sz w:val="28"/>
          <w:szCs w:val="28"/>
        </w:rPr>
        <w:lastRenderedPageBreak/>
        <w:t xml:space="preserve">II. </w:t>
      </w:r>
      <w:bookmarkEnd w:id="26"/>
      <w:bookmarkEnd w:id="27"/>
      <w:bookmarkEnd w:id="28"/>
      <w:bookmarkEnd w:id="29"/>
      <w:r w:rsidRPr="00A41002">
        <w:rPr>
          <w:rFonts w:ascii="Univers" w:hAnsi="Univers"/>
          <w:b/>
          <w:bCs/>
          <w:color w:val="auto"/>
          <w:sz w:val="28"/>
          <w:szCs w:val="28"/>
          <w:lang w:val="es-ES"/>
        </w:rPr>
        <w:t xml:space="preserve">Del trámite y sustanciación del </w:t>
      </w:r>
      <w:r w:rsidR="00CB1178" w:rsidRPr="00A41002">
        <w:rPr>
          <w:rFonts w:ascii="Univers" w:hAnsi="Univers"/>
          <w:b/>
          <w:bCs/>
          <w:color w:val="auto"/>
          <w:sz w:val="28"/>
          <w:szCs w:val="28"/>
          <w:lang w:val="es-ES"/>
        </w:rPr>
        <w:t>juicio</w:t>
      </w:r>
      <w:bookmarkEnd w:id="30"/>
      <w:r w:rsidR="003E79D8" w:rsidRPr="00A41002">
        <w:rPr>
          <w:rFonts w:ascii="Univers" w:hAnsi="Univers"/>
          <w:b/>
          <w:bCs/>
          <w:color w:val="auto"/>
          <w:sz w:val="28"/>
          <w:szCs w:val="28"/>
          <w:lang w:val="es-ES"/>
        </w:rPr>
        <w:t xml:space="preserve"> federal</w:t>
      </w:r>
      <w:bookmarkEnd w:id="31"/>
    </w:p>
    <w:p w14:paraId="1158F7AE" w14:textId="7A1A05B4" w:rsidR="003E79D8" w:rsidRPr="00A41002" w:rsidRDefault="003E79D8" w:rsidP="003E79D8">
      <w:pPr>
        <w:pStyle w:val="numerados"/>
        <w:ind w:left="0" w:firstLine="0"/>
        <w:rPr>
          <w:bCs/>
          <w:lang w:val="es-ES"/>
        </w:rPr>
      </w:pPr>
      <w:bookmarkStart w:id="32" w:name="_Hlk99999431"/>
      <w:bookmarkStart w:id="33" w:name="_Toc135995573"/>
      <w:r w:rsidRPr="00A41002">
        <w:rPr>
          <w:b/>
          <w:lang w:val="es-ES"/>
        </w:rPr>
        <w:t>Presentación de la demanda.</w:t>
      </w:r>
      <w:r w:rsidRPr="00A41002">
        <w:rPr>
          <w:lang w:val="es-ES"/>
        </w:rPr>
        <w:t xml:space="preserve"> El </w:t>
      </w:r>
      <w:r w:rsidR="00C65C39" w:rsidRPr="00A41002">
        <w:rPr>
          <w:lang w:val="es-ES"/>
        </w:rPr>
        <w:t>veinticuatro</w:t>
      </w:r>
      <w:r w:rsidRPr="00A41002">
        <w:rPr>
          <w:lang w:val="es-ES"/>
        </w:rPr>
        <w:t xml:space="preserve"> de marzo, </w:t>
      </w:r>
      <w:r w:rsidR="000E24A9" w:rsidRPr="00A41002">
        <w:rPr>
          <w:bCs/>
        </w:rPr>
        <w:t>el hoy actor presentó</w:t>
      </w:r>
      <w:r w:rsidRPr="00A41002">
        <w:rPr>
          <w:lang w:val="es-ES"/>
        </w:rPr>
        <w:t xml:space="preserve"> ante la autoridad responsable escrito de demanda federal </w:t>
      </w:r>
      <w:r w:rsidRPr="00A41002">
        <w:t>contra la sentencia antes referida.</w:t>
      </w:r>
    </w:p>
    <w:p w14:paraId="1D228AD5" w14:textId="5359CC77" w:rsidR="003E79D8" w:rsidRPr="00A41002" w:rsidRDefault="003E79D8" w:rsidP="003E79D8">
      <w:pPr>
        <w:pStyle w:val="numerados"/>
        <w:ind w:left="0" w:firstLine="0"/>
        <w:rPr>
          <w:lang w:val="es-ES"/>
        </w:rPr>
      </w:pPr>
      <w:r w:rsidRPr="00A41002">
        <w:rPr>
          <w:b/>
          <w:lang w:val="es-ES"/>
        </w:rPr>
        <w:t>Recepción y turno.</w:t>
      </w:r>
      <w:r w:rsidRPr="00A41002">
        <w:rPr>
          <w:lang w:val="es-ES"/>
        </w:rPr>
        <w:t xml:space="preserve"> El </w:t>
      </w:r>
      <w:r w:rsidR="000E24A9" w:rsidRPr="00A41002">
        <w:rPr>
          <w:lang w:val="es-ES"/>
        </w:rPr>
        <w:t>treinta y uno</w:t>
      </w:r>
      <w:r w:rsidRPr="00A41002">
        <w:rPr>
          <w:lang w:val="es-ES"/>
        </w:rPr>
        <w:t xml:space="preserve"> de marzo, se recibió en esta Sala Regional el escrito de demanda y las demás constancias relacionadas con el juicio que fueron remitidas por el Tribunal responsable; por lo que, en la misma data, la magistrada presidenta ordenó integrar el expediente </w:t>
      </w:r>
      <w:r w:rsidRPr="00A41002">
        <w:rPr>
          <w:b/>
          <w:lang w:val="es-ES"/>
        </w:rPr>
        <w:t>SX-JDC-</w:t>
      </w:r>
      <w:r w:rsidR="000E24A9" w:rsidRPr="00A41002">
        <w:rPr>
          <w:b/>
          <w:lang w:val="es-ES"/>
        </w:rPr>
        <w:t>238</w:t>
      </w:r>
      <w:r w:rsidRPr="00A41002">
        <w:rPr>
          <w:b/>
          <w:lang w:val="es-ES"/>
        </w:rPr>
        <w:t>/2025</w:t>
      </w:r>
      <w:r w:rsidRPr="00A41002">
        <w:rPr>
          <w:lang w:val="es-ES"/>
        </w:rPr>
        <w:t xml:space="preserve">, y turnarlo a la ponencia a cargo del magistrado Enrique Figueroa Ávila, para los efectos previstos en el </w:t>
      </w:r>
      <w:r w:rsidRPr="00A41002">
        <w:rPr>
          <w:color w:val="000000"/>
        </w:rPr>
        <w:t>artículo</w:t>
      </w:r>
      <w:r w:rsidRPr="00A41002">
        <w:rPr>
          <w:lang w:val="es-ES"/>
        </w:rPr>
        <w:t xml:space="preserve"> 19 de la Ley General del Sistema de Medios de Impugnación en Materia Electoral</w:t>
      </w:r>
      <w:r w:rsidRPr="00A41002">
        <w:rPr>
          <w:rStyle w:val="Refdenotaalpie"/>
          <w:rFonts w:eastAsiaTheme="majorEastAsia"/>
          <w:bCs/>
        </w:rPr>
        <w:footnoteReference w:id="8"/>
      </w:r>
      <w:r w:rsidRPr="00A41002">
        <w:rPr>
          <w:lang w:val="es-ES"/>
        </w:rPr>
        <w:t>.</w:t>
      </w:r>
    </w:p>
    <w:p w14:paraId="1E59E76D" w14:textId="3A4022C6" w:rsidR="009C420C" w:rsidRPr="00A41002" w:rsidRDefault="00560030" w:rsidP="009C420C">
      <w:pPr>
        <w:pStyle w:val="numerados"/>
        <w:ind w:left="0" w:firstLine="0"/>
      </w:pPr>
      <w:r w:rsidRPr="00A41002">
        <w:rPr>
          <w:b/>
          <w:lang w:val="es-ES"/>
        </w:rPr>
        <w:t xml:space="preserve">Radicación, admisión y </w:t>
      </w:r>
      <w:r w:rsidR="00BF6BAC" w:rsidRPr="00A41002">
        <w:rPr>
          <w:b/>
          <w:lang w:val="es-ES"/>
        </w:rPr>
        <w:t xml:space="preserve">audiencia. </w:t>
      </w:r>
      <w:r w:rsidR="00BF6BAC" w:rsidRPr="00A41002">
        <w:rPr>
          <w:bCs/>
          <w:lang w:val="es-ES"/>
        </w:rPr>
        <w:t>El uno de abril,</w:t>
      </w:r>
      <w:r w:rsidR="00BF6BAC" w:rsidRPr="00A41002">
        <w:rPr>
          <w:lang w:val="es-ES"/>
        </w:rPr>
        <w:t xml:space="preserve"> el magistrado instructor acordó radicar el juicio en su ponencia, admitió la demanda y se atendió la solicitud formulada por el actor para llevar a cabo una audiencia de alegatos.</w:t>
      </w:r>
    </w:p>
    <w:p w14:paraId="7582F77D" w14:textId="688D1F44" w:rsidR="009C420C" w:rsidRPr="00A41002" w:rsidRDefault="009C420C" w:rsidP="009C420C">
      <w:pPr>
        <w:pStyle w:val="numerados"/>
        <w:ind w:left="0" w:firstLine="0"/>
      </w:pPr>
      <w:r w:rsidRPr="00A41002">
        <w:rPr>
          <w:b/>
          <w:lang w:val="es-ES"/>
        </w:rPr>
        <w:t>R</w:t>
      </w:r>
      <w:r w:rsidR="00560030" w:rsidRPr="00A41002">
        <w:rPr>
          <w:b/>
          <w:lang w:val="es-ES"/>
        </w:rPr>
        <w:t>equerimiento</w:t>
      </w:r>
      <w:r w:rsidR="003E79D8" w:rsidRPr="00A41002">
        <w:rPr>
          <w:b/>
          <w:lang w:val="es-ES"/>
        </w:rPr>
        <w:t xml:space="preserve">. </w:t>
      </w:r>
      <w:r w:rsidR="003E79D8" w:rsidRPr="00A41002">
        <w:rPr>
          <w:lang w:val="es-ES"/>
        </w:rPr>
        <w:t>E</w:t>
      </w:r>
      <w:r w:rsidR="00560030" w:rsidRPr="00A41002">
        <w:rPr>
          <w:lang w:val="es-ES"/>
        </w:rPr>
        <w:t xml:space="preserve">l </w:t>
      </w:r>
      <w:r w:rsidR="00BF6BAC" w:rsidRPr="00A41002">
        <w:rPr>
          <w:lang w:val="es-ES"/>
        </w:rPr>
        <w:t>cuatro</w:t>
      </w:r>
      <w:r w:rsidRPr="00A41002">
        <w:rPr>
          <w:lang w:val="es-ES"/>
        </w:rPr>
        <w:t xml:space="preserve"> de abril, </w:t>
      </w:r>
      <w:r w:rsidR="00BF6BAC" w:rsidRPr="00A41002">
        <w:t>ante la necesidad de contar con mayores elementos para sustanciar y resolver el asunto</w:t>
      </w:r>
      <w:r w:rsidR="00B710C0" w:rsidRPr="00A41002">
        <w:t>,</w:t>
      </w:r>
      <w:r w:rsidR="00BF6BAC" w:rsidRPr="00A41002">
        <w:rPr>
          <w:lang w:val="es-ES"/>
        </w:rPr>
        <w:t xml:space="preserve"> se </w:t>
      </w:r>
      <w:r w:rsidRPr="00A41002">
        <w:rPr>
          <w:lang w:val="es-ES"/>
        </w:rPr>
        <w:t xml:space="preserve">requirió al Consejo </w:t>
      </w:r>
      <w:r w:rsidR="0080226D" w:rsidRPr="00A41002">
        <w:rPr>
          <w:bCs/>
          <w:lang w:val="es-ES"/>
        </w:rPr>
        <w:t xml:space="preserve">para la Realización del Proceso de Elección de Autoridades Auxiliares </w:t>
      </w:r>
      <w:r w:rsidRPr="00A41002">
        <w:rPr>
          <w:bCs/>
          <w:lang w:val="es-ES"/>
        </w:rPr>
        <w:t>y/o integrantes ayuntamiento de Mérida, Yucatán</w:t>
      </w:r>
      <w:r w:rsidR="0080226D" w:rsidRPr="00A41002">
        <w:rPr>
          <w:bCs/>
          <w:lang w:val="es-ES"/>
        </w:rPr>
        <w:t>,</w:t>
      </w:r>
      <w:r w:rsidRPr="00A41002">
        <w:rPr>
          <w:bCs/>
          <w:lang w:val="es-ES"/>
        </w:rPr>
        <w:t xml:space="preserve"> para que brindara</w:t>
      </w:r>
      <w:r w:rsidR="006442E7" w:rsidRPr="00A41002">
        <w:rPr>
          <w:bCs/>
          <w:lang w:val="es-ES"/>
        </w:rPr>
        <w:t>n</w:t>
      </w:r>
      <w:r w:rsidRPr="00A41002">
        <w:rPr>
          <w:bCs/>
          <w:lang w:val="es-ES"/>
        </w:rPr>
        <w:t xml:space="preserve"> diversa información respecto </w:t>
      </w:r>
      <w:r w:rsidRPr="00A41002">
        <w:rPr>
          <w:bCs/>
        </w:rPr>
        <w:t xml:space="preserve">a </w:t>
      </w:r>
      <w:r w:rsidRPr="00A41002">
        <w:rPr>
          <w:bCs/>
          <w:lang w:val="es-ES"/>
        </w:rPr>
        <w:t xml:space="preserve">la </w:t>
      </w:r>
      <w:r w:rsidRPr="00A41002">
        <w:rPr>
          <w:lang w:val="es-ES"/>
        </w:rPr>
        <w:t xml:space="preserve">elección de la comisaría de </w:t>
      </w:r>
      <w:proofErr w:type="spellStart"/>
      <w:r w:rsidRPr="00A41002">
        <w:rPr>
          <w:lang w:val="es-ES"/>
        </w:rPr>
        <w:t>Xcumpich</w:t>
      </w:r>
      <w:proofErr w:type="spellEnd"/>
      <w:r w:rsidRPr="00A41002">
        <w:rPr>
          <w:bCs/>
          <w:lang w:val="es-ES"/>
        </w:rPr>
        <w:t>, celebrada el veinticuatro de noviembre del año anterior.</w:t>
      </w:r>
    </w:p>
    <w:p w14:paraId="29B4141C" w14:textId="3F6CFCEC" w:rsidR="00B710C0" w:rsidRPr="00A41002" w:rsidRDefault="00560030" w:rsidP="00B710C0">
      <w:pPr>
        <w:pStyle w:val="numerados"/>
        <w:ind w:left="0" w:firstLine="0"/>
      </w:pPr>
      <w:r w:rsidRPr="00A41002">
        <w:rPr>
          <w:b/>
          <w:lang w:val="es-ES"/>
        </w:rPr>
        <w:lastRenderedPageBreak/>
        <w:t xml:space="preserve">Desahogo del requerimiento. </w:t>
      </w:r>
      <w:r w:rsidRPr="00A41002">
        <w:rPr>
          <w:bCs/>
          <w:lang w:val="es-ES"/>
        </w:rPr>
        <w:t xml:space="preserve">El </w:t>
      </w:r>
      <w:r w:rsidR="00B710C0" w:rsidRPr="00A41002">
        <w:rPr>
          <w:bCs/>
          <w:lang w:val="es-ES"/>
        </w:rPr>
        <w:t>once</w:t>
      </w:r>
      <w:r w:rsidRPr="00A41002">
        <w:rPr>
          <w:bCs/>
          <w:lang w:val="es-ES"/>
        </w:rPr>
        <w:t xml:space="preserve"> de abril, se </w:t>
      </w:r>
      <w:r w:rsidR="00B710C0" w:rsidRPr="00A41002">
        <w:rPr>
          <w:bCs/>
          <w:lang w:val="es-ES"/>
        </w:rPr>
        <w:t>tuvieron por recibidas</w:t>
      </w:r>
      <w:r w:rsidRPr="00A41002">
        <w:rPr>
          <w:bCs/>
          <w:lang w:val="es-ES"/>
        </w:rPr>
        <w:t xml:space="preserve"> las constancias </w:t>
      </w:r>
      <w:r w:rsidR="00B710C0" w:rsidRPr="00A41002">
        <w:rPr>
          <w:bCs/>
          <w:lang w:val="es-ES"/>
        </w:rPr>
        <w:t xml:space="preserve">de </w:t>
      </w:r>
      <w:r w:rsidRPr="00A41002">
        <w:rPr>
          <w:bCs/>
          <w:lang w:val="es-ES"/>
        </w:rPr>
        <w:t>desahogo del requerimiento formulado</w:t>
      </w:r>
      <w:r w:rsidR="006A0745" w:rsidRPr="00A41002">
        <w:rPr>
          <w:bCs/>
          <w:lang w:val="es-ES"/>
        </w:rPr>
        <w:t xml:space="preserve">, sin embargo, </w:t>
      </w:r>
      <w:r w:rsidR="00B710C0" w:rsidRPr="00A41002">
        <w:rPr>
          <w:bCs/>
          <w:lang w:val="es-ES"/>
        </w:rPr>
        <w:t xml:space="preserve">al </w:t>
      </w:r>
      <w:r w:rsidR="00B710C0" w:rsidRPr="00A41002">
        <w:t>persistir la necesidad de contar con mayores elementos para sustanciar y resolver el presente asunto, s</w:t>
      </w:r>
      <w:r w:rsidR="006A0745" w:rsidRPr="00A41002">
        <w:t>e sometió a consideración del Pleno de est</w:t>
      </w:r>
      <w:r w:rsidR="005C1AA5" w:rsidRPr="00A41002">
        <w:t xml:space="preserve">a Sala Regional, </w:t>
      </w:r>
      <w:r w:rsidR="006A0745" w:rsidRPr="00A41002">
        <w:t>llevar a cabo una diligencia de apertura de paquete electoral.</w:t>
      </w:r>
    </w:p>
    <w:p w14:paraId="18406CDF" w14:textId="44E0FE30" w:rsidR="009C420C" w:rsidRPr="00A41002" w:rsidRDefault="007A3BAC" w:rsidP="009C420C">
      <w:pPr>
        <w:pStyle w:val="numerados"/>
        <w:ind w:left="0" w:firstLine="0"/>
      </w:pPr>
      <w:r w:rsidRPr="00A41002">
        <w:rPr>
          <w:b/>
          <w:lang w:val="es-ES"/>
        </w:rPr>
        <w:t>Acuerdo de Sala sobre d</w:t>
      </w:r>
      <w:r w:rsidR="009C420C" w:rsidRPr="00A41002">
        <w:rPr>
          <w:b/>
          <w:lang w:val="es-ES"/>
        </w:rPr>
        <w:t>iligencia de apertura de paquete.</w:t>
      </w:r>
      <w:r w:rsidR="00C459B3" w:rsidRPr="00A41002">
        <w:rPr>
          <w:b/>
          <w:lang w:val="es-ES"/>
        </w:rPr>
        <w:t xml:space="preserve"> </w:t>
      </w:r>
      <w:r w:rsidR="00C459B3" w:rsidRPr="00A41002">
        <w:rPr>
          <w:bCs/>
          <w:lang w:val="es-ES"/>
        </w:rPr>
        <w:t>E</w:t>
      </w:r>
      <w:r w:rsidR="005C1AA5" w:rsidRPr="00A41002">
        <w:rPr>
          <w:bCs/>
          <w:lang w:val="es-ES"/>
        </w:rPr>
        <w:t xml:space="preserve">n </w:t>
      </w:r>
      <w:r w:rsidR="0080226D" w:rsidRPr="00A41002">
        <w:rPr>
          <w:bCs/>
          <w:lang w:val="es-ES"/>
        </w:rPr>
        <w:t xml:space="preserve">la </w:t>
      </w:r>
      <w:r w:rsidR="005C1AA5" w:rsidRPr="00A41002">
        <w:rPr>
          <w:bCs/>
          <w:lang w:val="es-ES"/>
        </w:rPr>
        <w:t>misma fecha, el Pleno de esta Sala Regional,</w:t>
      </w:r>
      <w:r w:rsidR="005C1AA5" w:rsidRPr="00A41002">
        <w:rPr>
          <w:bCs/>
        </w:rPr>
        <w:t xml:space="preserve"> </w:t>
      </w:r>
      <w:r w:rsidR="00736CED" w:rsidRPr="00A41002">
        <w:rPr>
          <w:bCs/>
        </w:rPr>
        <w:t>ordenó al Tribunal</w:t>
      </w:r>
      <w:r w:rsidRPr="00A41002">
        <w:rPr>
          <w:bCs/>
        </w:rPr>
        <w:t xml:space="preserve"> Electoral</w:t>
      </w:r>
      <w:r w:rsidR="00736CED" w:rsidRPr="00A41002">
        <w:rPr>
          <w:bCs/>
        </w:rPr>
        <w:t xml:space="preserve"> local y al Ayuntamiento de Mérida, Yucatán, </w:t>
      </w:r>
      <w:r w:rsidR="005C1AA5" w:rsidRPr="00A41002">
        <w:rPr>
          <w:bCs/>
        </w:rPr>
        <w:t xml:space="preserve">llevar a cabo </w:t>
      </w:r>
      <w:r w:rsidR="00736CED" w:rsidRPr="00A41002">
        <w:rPr>
          <w:bCs/>
        </w:rPr>
        <w:t>una</w:t>
      </w:r>
      <w:r w:rsidR="005C1AA5" w:rsidRPr="00A41002">
        <w:rPr>
          <w:bCs/>
        </w:rPr>
        <w:t xml:space="preserve"> diligencia </w:t>
      </w:r>
      <w:r w:rsidR="00736CED" w:rsidRPr="00A41002">
        <w:rPr>
          <w:bCs/>
        </w:rPr>
        <w:t>para aperturar el</w:t>
      </w:r>
      <w:r w:rsidR="005C1AA5" w:rsidRPr="00A41002">
        <w:rPr>
          <w:bCs/>
        </w:rPr>
        <w:t xml:space="preserve"> paquete electoral correspondiente a la elección de </w:t>
      </w:r>
      <w:proofErr w:type="spellStart"/>
      <w:r w:rsidR="005C1AA5" w:rsidRPr="00A41002">
        <w:rPr>
          <w:bCs/>
        </w:rPr>
        <w:t>Xcumpich</w:t>
      </w:r>
      <w:proofErr w:type="spellEnd"/>
      <w:r w:rsidR="005C1AA5" w:rsidRPr="00A41002">
        <w:rPr>
          <w:bCs/>
        </w:rPr>
        <w:t xml:space="preserve">, </w:t>
      </w:r>
      <w:r w:rsidR="00736CED" w:rsidRPr="00A41002">
        <w:rPr>
          <w:bCs/>
        </w:rPr>
        <w:t xml:space="preserve">de dicha entidad federativa, </w:t>
      </w:r>
      <w:r w:rsidR="005C1AA5" w:rsidRPr="00A41002">
        <w:rPr>
          <w:bCs/>
        </w:rPr>
        <w:t>celebrada el pasado veinticuatro de noviembre de dos mil veinticuatro</w:t>
      </w:r>
      <w:r w:rsidR="00736CED" w:rsidRPr="00A41002">
        <w:rPr>
          <w:bCs/>
        </w:rPr>
        <w:t>,</w:t>
      </w:r>
      <w:r w:rsidR="000F0706" w:rsidRPr="00A41002">
        <w:rPr>
          <w:bCs/>
        </w:rPr>
        <w:t xml:space="preserve"> con la única finalidad de identificar, y de ser el caso, remitir a esta Sala Regional, en sus originales, los 6 votos que primeramente fueron calificados como nulos por la mesa receptora y que, posteriormente, fueron recalificados por el Consejo para la Elección de Autoridades Auxiliares del Ayuntamiento.</w:t>
      </w:r>
    </w:p>
    <w:p w14:paraId="12B816B7" w14:textId="4E7DD47B" w:rsidR="009C420C" w:rsidRPr="00A41002" w:rsidRDefault="009C420C" w:rsidP="009C420C">
      <w:pPr>
        <w:pStyle w:val="numerados"/>
        <w:ind w:left="0" w:firstLine="0"/>
        <w:rPr>
          <w:b/>
          <w:bCs/>
        </w:rPr>
      </w:pPr>
      <w:r w:rsidRPr="00A41002">
        <w:rPr>
          <w:b/>
          <w:bCs/>
        </w:rPr>
        <w:t xml:space="preserve">Desahogo de diligencia. </w:t>
      </w:r>
      <w:r w:rsidR="00C56781" w:rsidRPr="00A41002">
        <w:t xml:space="preserve">El </w:t>
      </w:r>
      <w:r w:rsidR="00C83047" w:rsidRPr="00A41002">
        <w:t>veinti</w:t>
      </w:r>
      <w:r w:rsidR="00A16914" w:rsidRPr="00A41002">
        <w:t>cinco y veinti</w:t>
      </w:r>
      <w:r w:rsidR="00C83047" w:rsidRPr="00A41002">
        <w:t xml:space="preserve">ocho de abril </w:t>
      </w:r>
      <w:r w:rsidR="00C56781" w:rsidRPr="00A41002">
        <w:t xml:space="preserve">siguiente, </w:t>
      </w:r>
      <w:r w:rsidR="00A16914" w:rsidRPr="00A41002">
        <w:t>se recibieron</w:t>
      </w:r>
      <w:r w:rsidR="00C83047" w:rsidRPr="00A41002">
        <w:t xml:space="preserve"> todas </w:t>
      </w:r>
      <w:r w:rsidR="00A16914" w:rsidRPr="00A41002">
        <w:t xml:space="preserve">las constancias </w:t>
      </w:r>
      <w:r w:rsidR="00DE2774" w:rsidRPr="00A41002">
        <w:t xml:space="preserve">y anexos correspondientes, </w:t>
      </w:r>
      <w:r w:rsidR="00A16914" w:rsidRPr="00A41002">
        <w:t>relativ</w:t>
      </w:r>
      <w:r w:rsidR="007A3BAC" w:rsidRPr="00A41002">
        <w:t>o</w:t>
      </w:r>
      <w:r w:rsidR="00A16914" w:rsidRPr="00A41002">
        <w:t>s a la diligencia de apertura del paquete electoral referid</w:t>
      </w:r>
      <w:r w:rsidR="007A3BAC" w:rsidRPr="00A41002">
        <w:t>a</w:t>
      </w:r>
      <w:r w:rsidR="00A16914" w:rsidRPr="00A41002">
        <w:t>, realizada por el Tribunal Electoral local</w:t>
      </w:r>
      <w:r w:rsidR="00212F21" w:rsidRPr="00A41002">
        <w:t xml:space="preserve"> en colaboración con el ayuntamiento de Mérida</w:t>
      </w:r>
      <w:r w:rsidR="00A16914" w:rsidRPr="00A41002">
        <w:t>,</w:t>
      </w:r>
      <w:r w:rsidR="00212F21" w:rsidRPr="00A41002">
        <w:t xml:space="preserve"> Yucatán</w:t>
      </w:r>
      <w:r w:rsidR="00A16914" w:rsidRPr="00A41002">
        <w:t>.</w:t>
      </w:r>
    </w:p>
    <w:p w14:paraId="4C582408" w14:textId="3FCD3249" w:rsidR="007F5FFB" w:rsidRPr="00A41002" w:rsidRDefault="007F5FFB" w:rsidP="009C420C">
      <w:pPr>
        <w:pStyle w:val="numerados"/>
        <w:ind w:left="0" w:firstLine="0"/>
        <w:rPr>
          <w:b/>
          <w:bCs/>
        </w:rPr>
      </w:pPr>
      <w:r w:rsidRPr="00A41002">
        <w:rPr>
          <w:b/>
          <w:bCs/>
        </w:rPr>
        <w:t xml:space="preserve">Escrito incidental. </w:t>
      </w:r>
      <w:r w:rsidRPr="00A41002">
        <w:t xml:space="preserve">El veintinueve y treinta de abril, se recibió el escrito de incidente de ejecución defectuosa </w:t>
      </w:r>
      <w:r w:rsidRPr="00A41002">
        <w:lastRenderedPageBreak/>
        <w:t>promovido por el actor en relación con el desahogo de la diligencia referida.</w:t>
      </w:r>
    </w:p>
    <w:p w14:paraId="5FF7B120" w14:textId="3AE6E65C" w:rsidR="007F5FFB" w:rsidRPr="00A41002" w:rsidRDefault="007F5FFB" w:rsidP="009C420C">
      <w:pPr>
        <w:pStyle w:val="numerados"/>
        <w:ind w:left="0" w:firstLine="0"/>
        <w:rPr>
          <w:b/>
          <w:bCs/>
        </w:rPr>
      </w:pPr>
      <w:r w:rsidRPr="00A41002">
        <w:rPr>
          <w:b/>
          <w:bCs/>
        </w:rPr>
        <w:t>Vista</w:t>
      </w:r>
      <w:r w:rsidR="007B1C89" w:rsidRPr="00A41002">
        <w:rPr>
          <w:b/>
          <w:bCs/>
        </w:rPr>
        <w:t xml:space="preserve"> a</w:t>
      </w:r>
      <w:r w:rsidR="00B65910" w:rsidRPr="00A41002">
        <w:rPr>
          <w:b/>
          <w:bCs/>
        </w:rPr>
        <w:t>l funcionariado actuante en la diligencia</w:t>
      </w:r>
      <w:r w:rsidRPr="00A41002">
        <w:rPr>
          <w:b/>
          <w:bCs/>
        </w:rPr>
        <w:t xml:space="preserve">. </w:t>
      </w:r>
      <w:r w:rsidRPr="00A41002">
        <w:t>El treinta de abril, el magistrado instructor ordenó la apertura del cuaderno incidental respectivo y dio vista al Tribunal Electoral local, así como al secretario y al Consejo para la realización del proceso de elección de autoridades auxiliares y/o integrantes ayuntamiento de Mérida, Yucatán, con el escrito incidental promovido por el actor, para que manifestaran lo que a sus intereses conviniera.</w:t>
      </w:r>
    </w:p>
    <w:p w14:paraId="37F22E9B" w14:textId="1053D2CE" w:rsidR="007F5FFB" w:rsidRPr="00A41002" w:rsidRDefault="007F5FFB" w:rsidP="009C420C">
      <w:pPr>
        <w:pStyle w:val="numerados"/>
        <w:ind w:left="0" w:firstLine="0"/>
        <w:rPr>
          <w:b/>
          <w:bCs/>
        </w:rPr>
      </w:pPr>
      <w:r w:rsidRPr="00A41002">
        <w:rPr>
          <w:b/>
          <w:bCs/>
        </w:rPr>
        <w:t xml:space="preserve">Desahogo de vista. </w:t>
      </w:r>
      <w:r w:rsidR="000056E1" w:rsidRPr="00A41002">
        <w:t xml:space="preserve">El dos, cinco y seis de mayo, el presidente del Tribunal Electoral local y el secretario del Ayuntamiento </w:t>
      </w:r>
      <w:r w:rsidR="00B76704" w:rsidRPr="00A41002">
        <w:t>desahogaron la vista referida en el párrafo anterior.</w:t>
      </w:r>
    </w:p>
    <w:p w14:paraId="5635DAEB" w14:textId="4158B901" w:rsidR="00B76704" w:rsidRPr="00A41002" w:rsidRDefault="00B76704" w:rsidP="009C420C">
      <w:pPr>
        <w:pStyle w:val="numerados"/>
        <w:ind w:left="0" w:firstLine="0"/>
        <w:rPr>
          <w:b/>
          <w:bCs/>
        </w:rPr>
      </w:pPr>
      <w:r w:rsidRPr="00A41002">
        <w:rPr>
          <w:b/>
          <w:bCs/>
        </w:rPr>
        <w:t xml:space="preserve">Vista al incidentista. </w:t>
      </w:r>
      <w:r w:rsidRPr="00A41002">
        <w:t xml:space="preserve">El </w:t>
      </w:r>
      <w:r w:rsidR="005F7926" w:rsidRPr="00A41002">
        <w:t xml:space="preserve">cinco de mayo, el magistrado instructor dio vista al incidentista con los escritos de deshago de vista presentados por </w:t>
      </w:r>
      <w:r w:rsidR="00D52900" w:rsidRPr="00A41002">
        <w:t>el funcionariado actuante en la diligencia referida.</w:t>
      </w:r>
    </w:p>
    <w:p w14:paraId="341171CB" w14:textId="1B33668A" w:rsidR="00D52900" w:rsidRPr="00A41002" w:rsidRDefault="00D52900" w:rsidP="009C420C">
      <w:pPr>
        <w:pStyle w:val="numerados"/>
        <w:ind w:left="0" w:firstLine="0"/>
        <w:rPr>
          <w:b/>
          <w:bCs/>
        </w:rPr>
      </w:pPr>
      <w:r w:rsidRPr="00A41002">
        <w:rPr>
          <w:b/>
          <w:bCs/>
        </w:rPr>
        <w:t xml:space="preserve">Desahogo de vista. </w:t>
      </w:r>
      <w:r w:rsidRPr="00A41002">
        <w:t xml:space="preserve">El </w:t>
      </w:r>
      <w:r w:rsidR="003C6D7E" w:rsidRPr="00A41002">
        <w:t>seis de mayo, el incidentista presentó escrito de manera electrónica mediante el cual desahogo la vista referida.</w:t>
      </w:r>
    </w:p>
    <w:p w14:paraId="51A673C4" w14:textId="1664028D" w:rsidR="00EC1AC0" w:rsidRPr="00A41002" w:rsidRDefault="007F5FFB" w:rsidP="003E79D8">
      <w:pPr>
        <w:pStyle w:val="numerados"/>
        <w:ind w:left="0" w:firstLine="0"/>
      </w:pPr>
      <w:r w:rsidRPr="00A41002">
        <w:rPr>
          <w:b/>
          <w:bCs/>
          <w:lang w:val="es-ES"/>
        </w:rPr>
        <w:t>Sustanciación</w:t>
      </w:r>
      <w:r w:rsidR="00560030" w:rsidRPr="00A41002">
        <w:rPr>
          <w:lang w:val="es-ES"/>
        </w:rPr>
        <w:t xml:space="preserve">. </w:t>
      </w:r>
      <w:r w:rsidRPr="00A41002">
        <w:t xml:space="preserve">En su oportunidad, el magistrado instructor tuvo por recibida diversa documentación y </w:t>
      </w:r>
      <w:r w:rsidR="003E79D8" w:rsidRPr="00A41002">
        <w:rPr>
          <w:lang w:val="es-ES"/>
        </w:rPr>
        <w:t xml:space="preserve">al no </w:t>
      </w:r>
      <w:r w:rsidRPr="00A41002">
        <w:rPr>
          <w:lang w:val="es-ES"/>
        </w:rPr>
        <w:t>existir</w:t>
      </w:r>
      <w:r w:rsidR="003E79D8" w:rsidRPr="00A41002">
        <w:rPr>
          <w:lang w:val="es-ES"/>
        </w:rPr>
        <w:t xml:space="preserve"> diligencias pendientes por </w:t>
      </w:r>
      <w:r w:rsidR="003E79D8" w:rsidRPr="00A41002">
        <w:rPr>
          <w:color w:val="000000"/>
        </w:rPr>
        <w:t>desahogar</w:t>
      </w:r>
      <w:r w:rsidR="00C459B3" w:rsidRPr="00A41002">
        <w:rPr>
          <w:lang w:val="es-ES"/>
        </w:rPr>
        <w:t xml:space="preserve">, </w:t>
      </w:r>
      <w:r w:rsidR="003E79D8" w:rsidRPr="00A41002">
        <w:rPr>
          <w:lang w:val="es-ES"/>
        </w:rPr>
        <w:t xml:space="preserve">ordenó el cierre de </w:t>
      </w:r>
      <w:r w:rsidR="003E79D8" w:rsidRPr="00A41002">
        <w:rPr>
          <w:lang w:val="es-ES"/>
        </w:rPr>
        <w:lastRenderedPageBreak/>
        <w:t>instrucción quedando el expediente en estado de dictar sentencia</w:t>
      </w:r>
      <w:r w:rsidR="00EC1AC0" w:rsidRPr="00A41002">
        <w:t>.</w:t>
      </w:r>
    </w:p>
    <w:p w14:paraId="2C1C1423" w14:textId="77777777" w:rsidR="00AF31C9" w:rsidRPr="00A41002" w:rsidRDefault="00AF31C9" w:rsidP="00AF31C9">
      <w:pPr>
        <w:pStyle w:val="Ttulo1"/>
        <w:spacing w:before="240" w:beforeAutospacing="1" w:after="100" w:afterAutospacing="1"/>
        <w:jc w:val="center"/>
        <w:rPr>
          <w:rFonts w:ascii="Univers" w:hAnsi="Univers"/>
          <w:b/>
          <w:bCs/>
          <w:color w:val="auto"/>
          <w:spacing w:val="100"/>
          <w:sz w:val="28"/>
          <w:szCs w:val="28"/>
          <w:lang w:eastAsia="es-MX"/>
        </w:rPr>
      </w:pPr>
      <w:bookmarkStart w:id="34" w:name="_Toc198028401"/>
      <w:bookmarkEnd w:id="24"/>
      <w:bookmarkEnd w:id="32"/>
      <w:r w:rsidRPr="00A41002">
        <w:rPr>
          <w:rFonts w:ascii="Univers" w:hAnsi="Univers"/>
          <w:b/>
          <w:bCs/>
          <w:color w:val="auto"/>
          <w:spacing w:val="100"/>
          <w:sz w:val="28"/>
          <w:szCs w:val="28"/>
          <w:lang w:eastAsia="es-MX"/>
        </w:rPr>
        <w:t>CONSIDERANDO</w:t>
      </w:r>
      <w:bookmarkEnd w:id="33"/>
      <w:bookmarkEnd w:id="34"/>
    </w:p>
    <w:p w14:paraId="4C3D3D75" w14:textId="77777777" w:rsidR="00AF31C9" w:rsidRPr="00A41002" w:rsidRDefault="00AF31C9" w:rsidP="00AF31C9">
      <w:pPr>
        <w:pStyle w:val="SXSUBTITULO1"/>
        <w:spacing w:before="240"/>
        <w:rPr>
          <w:rStyle w:val="Ttulo2Car"/>
          <w:rFonts w:ascii="Univers" w:hAnsi="Univers"/>
          <w:bCs/>
          <w:color w:val="auto"/>
          <w:sz w:val="28"/>
          <w:szCs w:val="28"/>
        </w:rPr>
      </w:pPr>
      <w:bookmarkStart w:id="35" w:name="_Toc492314777"/>
      <w:bookmarkStart w:id="36" w:name="_Toc58454005"/>
      <w:bookmarkStart w:id="37" w:name="_Toc135995574"/>
      <w:bookmarkStart w:id="38" w:name="_Toc198028402"/>
      <w:r w:rsidRPr="00A41002">
        <w:rPr>
          <w:rStyle w:val="Ttulo2Car"/>
          <w:rFonts w:ascii="Univers" w:hAnsi="Univers"/>
          <w:bCs/>
          <w:color w:val="auto"/>
          <w:sz w:val="28"/>
          <w:szCs w:val="28"/>
        </w:rPr>
        <w:t>PRIMERO. Jurisdicción y competencia</w:t>
      </w:r>
      <w:bookmarkEnd w:id="35"/>
      <w:bookmarkEnd w:id="36"/>
      <w:bookmarkEnd w:id="37"/>
      <w:bookmarkEnd w:id="38"/>
    </w:p>
    <w:p w14:paraId="12D1DFDA" w14:textId="65E041B8" w:rsidR="008E47AE" w:rsidRPr="00A41002" w:rsidRDefault="008E47AE" w:rsidP="008E47AE">
      <w:pPr>
        <w:pStyle w:val="numerados"/>
        <w:ind w:left="0" w:hanging="1"/>
        <w:rPr>
          <w:lang w:val="es-ES"/>
        </w:rPr>
      </w:pPr>
      <w:bookmarkStart w:id="39" w:name="_Toc472331468"/>
      <w:bookmarkEnd w:id="22"/>
      <w:bookmarkEnd w:id="23"/>
      <w:r w:rsidRPr="00A41002">
        <w:rPr>
          <w:lang w:val="es-ES"/>
        </w:rPr>
        <w:t xml:space="preserve">El Tribunal Electoral del Poder Judicial de la Federación ejerce jurisdicción y esta Sala Regional correspondiente a la Tercera Circunscripción Plurinominal Electoral </w:t>
      </w:r>
      <w:r w:rsidRPr="00A41002">
        <w:t xml:space="preserve">es competente para conocer y resolver el presente medio de impugnación: </w:t>
      </w:r>
      <w:r w:rsidRPr="00A41002">
        <w:rPr>
          <w:b/>
          <w:bCs/>
        </w:rPr>
        <w:t>a)</w:t>
      </w:r>
      <w:r w:rsidRPr="00A41002">
        <w:t xml:space="preserve"> </w:t>
      </w:r>
      <w:r w:rsidRPr="00A41002">
        <w:rPr>
          <w:b/>
        </w:rPr>
        <w:t>por materia</w:t>
      </w:r>
      <w:r w:rsidRPr="00A41002">
        <w:t xml:space="preserve">, al tratarse de un juicio de la ciudadanía, promovido contra </w:t>
      </w:r>
      <w:r w:rsidRPr="00A41002">
        <w:rPr>
          <w:bCs/>
        </w:rPr>
        <w:t xml:space="preserve">una sentencia emitida por el Tribunal Electoral del Estado de </w:t>
      </w:r>
      <w:r w:rsidR="00E7569E" w:rsidRPr="00A41002">
        <w:rPr>
          <w:bCs/>
        </w:rPr>
        <w:t>Yucatán</w:t>
      </w:r>
      <w:r w:rsidRPr="00A41002">
        <w:rPr>
          <w:bCs/>
        </w:rPr>
        <w:t xml:space="preserve">, </w:t>
      </w:r>
      <w:r w:rsidR="00A603CF" w:rsidRPr="00A41002">
        <w:rPr>
          <w:bCs/>
        </w:rPr>
        <w:t>que declaró la nulidad de</w:t>
      </w:r>
      <w:r w:rsidRPr="00A41002">
        <w:rPr>
          <w:bCs/>
        </w:rPr>
        <w:t xml:space="preserve"> la</w:t>
      </w:r>
      <w:r w:rsidR="00E7569E" w:rsidRPr="00A41002">
        <w:rPr>
          <w:bCs/>
        </w:rPr>
        <w:t xml:space="preserve"> </w:t>
      </w:r>
      <w:r w:rsidR="00E7569E" w:rsidRPr="00A41002">
        <w:rPr>
          <w:lang w:val="es-ES"/>
        </w:rPr>
        <w:t xml:space="preserve">elección de la comisaría de </w:t>
      </w:r>
      <w:proofErr w:type="spellStart"/>
      <w:r w:rsidR="00E7569E" w:rsidRPr="00A41002">
        <w:rPr>
          <w:lang w:val="es-ES"/>
        </w:rPr>
        <w:t>Xcumpich</w:t>
      </w:r>
      <w:proofErr w:type="spellEnd"/>
      <w:r w:rsidR="00E7569E" w:rsidRPr="00A41002">
        <w:rPr>
          <w:bCs/>
          <w:lang w:val="es-ES"/>
        </w:rPr>
        <w:t>, en Mérida, Yucatán</w:t>
      </w:r>
      <w:r w:rsidRPr="00A41002">
        <w:t>;</w:t>
      </w:r>
      <w:r w:rsidRPr="00A41002">
        <w:rPr>
          <w:bCs/>
        </w:rPr>
        <w:t xml:space="preserve"> y, </w:t>
      </w:r>
      <w:r w:rsidRPr="00A41002">
        <w:rPr>
          <w:b/>
        </w:rPr>
        <w:t>por territorio</w:t>
      </w:r>
      <w:r w:rsidRPr="00A41002">
        <w:rPr>
          <w:bCs/>
        </w:rPr>
        <w:t>, porque dicha entidad federativa corresponde a esta circunscripción plurinominal.</w:t>
      </w:r>
    </w:p>
    <w:p w14:paraId="1885596F" w14:textId="39001C91" w:rsidR="008E47AE" w:rsidRPr="00A41002" w:rsidRDefault="008E47AE" w:rsidP="008E47AE">
      <w:pPr>
        <w:pStyle w:val="numerados"/>
        <w:ind w:left="0" w:hanging="1"/>
        <w:rPr>
          <w:lang w:val="es-ES"/>
        </w:rPr>
      </w:pPr>
      <w:r w:rsidRPr="00A41002">
        <w:rPr>
          <w:lang w:val="es-ES"/>
        </w:rPr>
        <w:t xml:space="preserve">Lo anterior, de conformidad con lo dispuesto en los artículos </w:t>
      </w:r>
      <w:r w:rsidRPr="00A41002">
        <w:t>41, párrafo tercero, base VI, y 99, párrafo cuarto, fracción V de la Constitución Política de los Estados Unidos Mexicanos</w:t>
      </w:r>
      <w:r w:rsidR="00375379" w:rsidRPr="00A41002">
        <w:rPr>
          <w:rStyle w:val="Refdenotaalpie"/>
        </w:rPr>
        <w:footnoteReference w:id="9"/>
      </w:r>
      <w:r w:rsidRPr="00A41002">
        <w:t>; 251,</w:t>
      </w:r>
      <w:r w:rsidR="00963494" w:rsidRPr="00A41002">
        <w:t xml:space="preserve"> </w:t>
      </w:r>
      <w:r w:rsidRPr="00A41002">
        <w:t>252,</w:t>
      </w:r>
      <w:r w:rsidR="00963494" w:rsidRPr="00A41002">
        <w:t xml:space="preserve"> </w:t>
      </w:r>
      <w:r w:rsidRPr="00A41002">
        <w:t>253, fracción</w:t>
      </w:r>
      <w:r w:rsidR="00963494" w:rsidRPr="00A41002">
        <w:t xml:space="preserve"> </w:t>
      </w:r>
      <w:r w:rsidRPr="00A41002">
        <w:t>IV, inciso c,</w:t>
      </w:r>
      <w:r w:rsidR="00963494" w:rsidRPr="00A41002">
        <w:t xml:space="preserve"> </w:t>
      </w:r>
      <w:r w:rsidRPr="00A41002">
        <w:t>260, párrafo primero,</w:t>
      </w:r>
      <w:r w:rsidR="00963494" w:rsidRPr="00A41002">
        <w:t xml:space="preserve"> </w:t>
      </w:r>
      <w:r w:rsidRPr="00A41002">
        <w:t>y</w:t>
      </w:r>
      <w:r w:rsidR="00963494" w:rsidRPr="00A41002">
        <w:t xml:space="preserve"> </w:t>
      </w:r>
      <w:r w:rsidRPr="00A41002">
        <w:t>263, fracción IV, inciso c,</w:t>
      </w:r>
      <w:r w:rsidR="00963494" w:rsidRPr="00A41002">
        <w:t xml:space="preserve"> </w:t>
      </w:r>
      <w:r w:rsidRPr="00A41002">
        <w:t>de la Ley Orgánica del Poder Judicial de la Federación; 3, apartado 2, inciso c; 79,</w:t>
      </w:r>
      <w:r w:rsidR="00963494" w:rsidRPr="00A41002">
        <w:t xml:space="preserve"> </w:t>
      </w:r>
      <w:r w:rsidRPr="00A41002">
        <w:t>apartado</w:t>
      </w:r>
      <w:r w:rsidR="00963494" w:rsidRPr="00A41002">
        <w:t xml:space="preserve"> </w:t>
      </w:r>
      <w:r w:rsidRPr="00A41002">
        <w:t>1; 80,</w:t>
      </w:r>
      <w:r w:rsidR="00963494" w:rsidRPr="00A41002">
        <w:t xml:space="preserve"> </w:t>
      </w:r>
      <w:r w:rsidRPr="00A41002">
        <w:t>apartado</w:t>
      </w:r>
      <w:r w:rsidR="00963494" w:rsidRPr="00A41002">
        <w:t xml:space="preserve"> </w:t>
      </w:r>
      <w:r w:rsidRPr="00A41002">
        <w:t>1, inciso</w:t>
      </w:r>
      <w:r w:rsidR="00963494" w:rsidRPr="00A41002">
        <w:t xml:space="preserve"> </w:t>
      </w:r>
      <w:r w:rsidRPr="00A41002">
        <w:t>f, y 83, apartado 1, inciso</w:t>
      </w:r>
      <w:r w:rsidR="00963494" w:rsidRPr="00A41002">
        <w:t xml:space="preserve"> </w:t>
      </w:r>
      <w:r w:rsidRPr="00A41002">
        <w:t>b,</w:t>
      </w:r>
      <w:r w:rsidR="00963494" w:rsidRPr="00A41002">
        <w:t xml:space="preserve"> </w:t>
      </w:r>
      <w:r w:rsidRPr="00A41002">
        <w:t>de la Ley General del Sistema de Medios de Impugnación en Materia Electoral</w:t>
      </w:r>
      <w:r w:rsidR="00375379" w:rsidRPr="00A41002">
        <w:rPr>
          <w:rStyle w:val="Refdenotaalpie"/>
        </w:rPr>
        <w:footnoteReference w:id="10"/>
      </w:r>
      <w:r w:rsidRPr="00A41002">
        <w:rPr>
          <w:lang w:val="es-ES"/>
        </w:rPr>
        <w:t>.</w:t>
      </w:r>
    </w:p>
    <w:p w14:paraId="1828799E" w14:textId="47972270" w:rsidR="006A3D8A" w:rsidRPr="00A41002" w:rsidRDefault="008E47AE" w:rsidP="006A3D8A">
      <w:pPr>
        <w:pStyle w:val="SXSUBTITULO1"/>
        <w:spacing w:before="240"/>
        <w:rPr>
          <w:rStyle w:val="Ttulo2Car"/>
          <w:rFonts w:ascii="Univers" w:hAnsi="Univers"/>
          <w:color w:val="auto"/>
          <w:sz w:val="28"/>
          <w:szCs w:val="28"/>
        </w:rPr>
      </w:pPr>
      <w:bookmarkStart w:id="40" w:name="_Toc198028403"/>
      <w:bookmarkStart w:id="41" w:name="_Toc162428060"/>
      <w:bookmarkStart w:id="42" w:name="_Toc193449549"/>
      <w:bookmarkStart w:id="43" w:name="_Toc522039601"/>
      <w:bookmarkEnd w:id="39"/>
      <w:r w:rsidRPr="00A41002">
        <w:rPr>
          <w:rStyle w:val="Ttulo2Car"/>
          <w:rFonts w:ascii="Univers" w:hAnsi="Univers"/>
          <w:color w:val="auto"/>
          <w:sz w:val="28"/>
          <w:szCs w:val="28"/>
        </w:rPr>
        <w:lastRenderedPageBreak/>
        <w:t xml:space="preserve">SEGUNDO. </w:t>
      </w:r>
      <w:r w:rsidR="003E4E38" w:rsidRPr="00A41002">
        <w:rPr>
          <w:rStyle w:val="Ttulo2Car"/>
          <w:rFonts w:ascii="Univers" w:hAnsi="Univers"/>
          <w:color w:val="auto"/>
          <w:sz w:val="28"/>
          <w:szCs w:val="28"/>
        </w:rPr>
        <w:t>Resolución de i</w:t>
      </w:r>
      <w:r w:rsidR="006A3D8A" w:rsidRPr="00A41002">
        <w:rPr>
          <w:rStyle w:val="Ttulo2Car"/>
          <w:rFonts w:ascii="Univers" w:hAnsi="Univers"/>
          <w:color w:val="auto"/>
          <w:sz w:val="28"/>
          <w:szCs w:val="28"/>
        </w:rPr>
        <w:t xml:space="preserve">ncidente de ejecución defectuosa </w:t>
      </w:r>
      <w:r w:rsidR="00203254" w:rsidRPr="00A41002">
        <w:rPr>
          <w:rStyle w:val="Ttulo2Car"/>
          <w:rFonts w:ascii="Univers" w:hAnsi="Univers"/>
          <w:color w:val="auto"/>
          <w:sz w:val="28"/>
          <w:szCs w:val="28"/>
        </w:rPr>
        <w:t>de</w:t>
      </w:r>
      <w:r w:rsidR="006A3D8A" w:rsidRPr="00A41002">
        <w:rPr>
          <w:rStyle w:val="Ttulo2Car"/>
          <w:rFonts w:ascii="Univers" w:hAnsi="Univers"/>
          <w:color w:val="auto"/>
          <w:sz w:val="28"/>
          <w:szCs w:val="28"/>
        </w:rPr>
        <w:t xml:space="preserve"> la diligencia de apertura del paquete electoral de la elección de </w:t>
      </w:r>
      <w:proofErr w:type="spellStart"/>
      <w:r w:rsidR="006A3D8A" w:rsidRPr="00A41002">
        <w:rPr>
          <w:rStyle w:val="Ttulo2Car"/>
          <w:rFonts w:ascii="Univers" w:hAnsi="Univers"/>
          <w:color w:val="auto"/>
          <w:sz w:val="28"/>
          <w:szCs w:val="28"/>
        </w:rPr>
        <w:t>Xcumpich</w:t>
      </w:r>
      <w:proofErr w:type="spellEnd"/>
      <w:r w:rsidR="006A3D8A" w:rsidRPr="00A41002">
        <w:rPr>
          <w:rStyle w:val="Ttulo2Car"/>
          <w:rFonts w:ascii="Univers" w:hAnsi="Univers"/>
          <w:color w:val="auto"/>
          <w:sz w:val="28"/>
          <w:szCs w:val="28"/>
        </w:rPr>
        <w:t>, Mérida, Yucatán.</w:t>
      </w:r>
      <w:bookmarkEnd w:id="40"/>
    </w:p>
    <w:p w14:paraId="63CE6336" w14:textId="38CC9304" w:rsidR="006A3D8A" w:rsidRPr="00A41002" w:rsidRDefault="006A3D8A" w:rsidP="00203254">
      <w:pPr>
        <w:pStyle w:val="numerados"/>
        <w:ind w:left="0" w:hanging="1"/>
      </w:pPr>
      <w:r w:rsidRPr="00A41002">
        <w:t xml:space="preserve">En primer lugar, es necesario señalar que la presente cuestión incidental fue </w:t>
      </w:r>
      <w:r w:rsidR="00181035" w:rsidRPr="00A41002">
        <w:t>tramitada</w:t>
      </w:r>
      <w:r w:rsidRPr="00A41002">
        <w:t xml:space="preserve"> </w:t>
      </w:r>
      <w:r w:rsidR="002E1E71" w:rsidRPr="00A41002">
        <w:t>en términos de</w:t>
      </w:r>
      <w:r w:rsidRPr="00A41002">
        <w:t xml:space="preserve"> lo </w:t>
      </w:r>
      <w:r w:rsidR="002E1E71" w:rsidRPr="00A41002">
        <w:t>establecido</w:t>
      </w:r>
      <w:r w:rsidRPr="00A41002">
        <w:t xml:space="preserve"> en los artículos </w:t>
      </w:r>
      <w:r w:rsidR="000E7D74" w:rsidRPr="00A41002">
        <w:t xml:space="preserve">89, </w:t>
      </w:r>
      <w:r w:rsidRPr="00A41002">
        <w:t xml:space="preserve">92 y 93 del </w:t>
      </w:r>
      <w:r w:rsidR="002E1E71" w:rsidRPr="00A41002">
        <w:t>R</w:t>
      </w:r>
      <w:r w:rsidRPr="00A41002">
        <w:t xml:space="preserve">eglamento </w:t>
      </w:r>
      <w:r w:rsidR="006F732F" w:rsidRPr="00A41002">
        <w:t>I</w:t>
      </w:r>
      <w:r w:rsidRPr="00A41002">
        <w:t xml:space="preserve">nterno </w:t>
      </w:r>
      <w:r w:rsidR="006F732F" w:rsidRPr="00A41002">
        <w:t xml:space="preserve">del </w:t>
      </w:r>
      <w:r w:rsidRPr="00A41002">
        <w:t>Tribunal</w:t>
      </w:r>
      <w:r w:rsidR="006F732F" w:rsidRPr="00A41002">
        <w:t xml:space="preserve"> Electoral del Poder Judicial de la Federación</w:t>
      </w:r>
      <w:r w:rsidR="006F732F" w:rsidRPr="00A41002">
        <w:rPr>
          <w:rStyle w:val="Refdenotaalpie"/>
        </w:rPr>
        <w:footnoteReference w:id="11"/>
      </w:r>
      <w:r w:rsidRPr="00A41002">
        <w:t>, no obstante, el Pleno de esta Sala Regional determina que, a fin de darle mayor celeridad a la resolución integral del presente asunto, el incidente se resolverá dentro de la presente sentencia, sin que tal determinación afecte de alguna forma la esfera de derechos del actor.</w:t>
      </w:r>
    </w:p>
    <w:p w14:paraId="7FC0ED06" w14:textId="77777777" w:rsidR="006A3D8A" w:rsidRPr="00A41002" w:rsidRDefault="006A3D8A" w:rsidP="00203254">
      <w:pPr>
        <w:pStyle w:val="numerados"/>
        <w:ind w:left="0" w:hanging="1"/>
      </w:pPr>
      <w:r w:rsidRPr="00A41002">
        <w:t>Dicho lo anterior, se procede al análisis de la cuestión incidental.</w:t>
      </w:r>
    </w:p>
    <w:p w14:paraId="2751FA4A" w14:textId="77777777" w:rsidR="006A3D8A" w:rsidRPr="00A41002" w:rsidRDefault="006A3D8A" w:rsidP="00564C31">
      <w:pPr>
        <w:pStyle w:val="numerados"/>
        <w:numPr>
          <w:ilvl w:val="0"/>
          <w:numId w:val="0"/>
        </w:numPr>
        <w:rPr>
          <w:b/>
        </w:rPr>
      </w:pPr>
      <w:r w:rsidRPr="00A41002">
        <w:rPr>
          <w:b/>
        </w:rPr>
        <w:t>Objeto del incidente de ejecución defectuosa</w:t>
      </w:r>
    </w:p>
    <w:p w14:paraId="0EFBAD25" w14:textId="5FD61D54" w:rsidR="006A3D8A" w:rsidRPr="00A41002" w:rsidRDefault="006A3D8A" w:rsidP="00564C31">
      <w:pPr>
        <w:pStyle w:val="numerados"/>
        <w:ind w:left="0" w:hanging="1"/>
        <w:rPr>
          <w:bCs/>
        </w:rPr>
      </w:pPr>
      <w:r w:rsidRPr="00A41002">
        <w:t>En principio</w:t>
      </w:r>
      <w:r w:rsidR="00564C31" w:rsidRPr="00A41002">
        <w:t>,</w:t>
      </w:r>
      <w:r w:rsidRPr="00A41002">
        <w:t xml:space="preserve"> se debe precisar que esta Sala Regional tiene las facultades y atribuciones legales para pronunciarse respecto a las cuestiones incidentales relativas a la ejecución de los fallos que emita, aplicando el principio general del derecho consistente en que lo accesorio sigue la suerte de lo principal</w:t>
      </w:r>
      <w:r w:rsidRPr="00A41002">
        <w:rPr>
          <w:rStyle w:val="Refdenotaalpie"/>
        </w:rPr>
        <w:footnoteReference w:id="12"/>
      </w:r>
      <w:r w:rsidRPr="00A41002">
        <w:t>.</w:t>
      </w:r>
    </w:p>
    <w:p w14:paraId="682E2A1F" w14:textId="548E5CAD" w:rsidR="006A3D8A" w:rsidRPr="00A41002" w:rsidRDefault="006A3D8A" w:rsidP="00564C31">
      <w:pPr>
        <w:pStyle w:val="numerados"/>
        <w:ind w:left="0" w:hanging="1"/>
        <w:rPr>
          <w:bCs/>
        </w:rPr>
      </w:pPr>
      <w:r w:rsidRPr="00A41002">
        <w:lastRenderedPageBreak/>
        <w:t xml:space="preserve">Además, cabe recordar que en los artículos 6 y 32 de la Ley </w:t>
      </w:r>
      <w:r w:rsidR="008203F2" w:rsidRPr="00A41002">
        <w:t xml:space="preserve">General </w:t>
      </w:r>
      <w:r w:rsidRPr="00A41002">
        <w:t xml:space="preserve">de Medios se faculta al Tribunal Electoral a resolver los asuntos con plena jurisdicción, lo que implica que tiene la potestad para exigir el cumplimiento de sus determinaciones y, en caso de incumplimiento, imponer las consecuencias jurídicas aplicables, lo que junto al derecho a la tutela jurisdiccional efectiva implica que la ejecución de una sentencia comprende la remoción de todos los obstáculos que impliquen el incumplimiento de sus determinaciones, incluso aquellos derivados de un desacato manifiesto o bien, un </w:t>
      </w:r>
      <w:r w:rsidRPr="00A41002">
        <w:rPr>
          <w:b/>
          <w:bCs/>
        </w:rPr>
        <w:t>cumplimiento defectuoso</w:t>
      </w:r>
      <w:r w:rsidRPr="00A41002">
        <w:t>, insuficiente, aparente o excesivo</w:t>
      </w:r>
      <w:r w:rsidRPr="00A41002">
        <w:rPr>
          <w:rStyle w:val="Refdenotaalpie"/>
        </w:rPr>
        <w:footnoteReference w:id="13"/>
      </w:r>
      <w:r w:rsidRPr="00A41002">
        <w:t>.</w:t>
      </w:r>
    </w:p>
    <w:p w14:paraId="4E12E49E" w14:textId="77777777" w:rsidR="006A3D8A" w:rsidRPr="00A41002" w:rsidRDefault="006A3D8A" w:rsidP="00187EFA">
      <w:pPr>
        <w:pStyle w:val="numerados"/>
        <w:ind w:left="0" w:hanging="1"/>
        <w:rPr>
          <w:bCs/>
        </w:rPr>
      </w:pPr>
      <w:r w:rsidRPr="00A41002">
        <w:t xml:space="preserve">Ahora, conviene tener presente que el objeto o materia de un incidente de ejecución defectuosa de una sentencia, está determinado por lo resuelto en la propia ejecutoria, concretamente, la determinación adoptada, pues ella constituye lo susceptible de ser realizado y su ejecución defectuosa se traduce en la insatisfacción del derecho reconocido y declarado en la sentencia, en virtud de que los actos emitidos tendientes a acatar en su integridad lo ordenado en la misma, resultan insuficientes o no aptos para cumplirla en sus términos. </w:t>
      </w:r>
    </w:p>
    <w:p w14:paraId="45D956D1" w14:textId="67461B24" w:rsidR="006A3D8A" w:rsidRPr="00A41002" w:rsidRDefault="006A3D8A" w:rsidP="00187EFA">
      <w:pPr>
        <w:pStyle w:val="numerados"/>
        <w:ind w:left="0" w:hanging="1"/>
        <w:rPr>
          <w:lang w:val="es-419"/>
        </w:rPr>
      </w:pPr>
      <w:r w:rsidRPr="00A41002">
        <w:rPr>
          <w:lang w:val="es-419"/>
        </w:rPr>
        <w:t>En el caso, el objeto o materia del incidente promovido por el actor, consiste en el supuesto</w:t>
      </w:r>
      <w:r w:rsidRPr="00A41002">
        <w:rPr>
          <w:b/>
          <w:bCs/>
          <w:lang w:val="es-419"/>
        </w:rPr>
        <w:t xml:space="preserve"> cumplimiento defectuoso </w:t>
      </w:r>
      <w:r w:rsidRPr="00A41002">
        <w:rPr>
          <w:lang w:val="es-419"/>
        </w:rPr>
        <w:t xml:space="preserve">del acuerdo de sala de once de abril, dictado por el Pleno de esta Sala Regional en el expediente al rubro citado, en consecuencia, </w:t>
      </w:r>
      <w:r w:rsidRPr="00A41002">
        <w:rPr>
          <w:bCs/>
        </w:rPr>
        <w:lastRenderedPageBreak/>
        <w:t>el estudio de la materia incidental se encuentra delimitado por los efectos de lo decidido en dicho acuerdo de sala.</w:t>
      </w:r>
    </w:p>
    <w:p w14:paraId="7F21D137" w14:textId="0154FCCA" w:rsidR="006A3D8A" w:rsidRPr="00A41002" w:rsidRDefault="006A3D8A" w:rsidP="001E0668">
      <w:pPr>
        <w:pStyle w:val="numerados"/>
        <w:numPr>
          <w:ilvl w:val="0"/>
          <w:numId w:val="0"/>
        </w:numPr>
        <w:spacing w:before="360" w:after="360"/>
        <w:rPr>
          <w:b/>
          <w:bCs/>
        </w:rPr>
      </w:pPr>
      <w:r w:rsidRPr="00A41002">
        <w:rPr>
          <w:b/>
          <w:bCs/>
        </w:rPr>
        <w:t xml:space="preserve">Planteamientos del </w:t>
      </w:r>
      <w:r w:rsidR="001E0668" w:rsidRPr="00A41002">
        <w:rPr>
          <w:b/>
          <w:bCs/>
        </w:rPr>
        <w:t>incidentista</w:t>
      </w:r>
    </w:p>
    <w:p w14:paraId="4F642FD4" w14:textId="17B31AFE" w:rsidR="006A3D8A" w:rsidRPr="00A41002" w:rsidRDefault="006A3D8A" w:rsidP="001E0668">
      <w:pPr>
        <w:pStyle w:val="numerados"/>
        <w:ind w:left="0" w:hanging="1"/>
      </w:pPr>
      <w:r w:rsidRPr="00A41002">
        <w:t xml:space="preserve">El </w:t>
      </w:r>
      <w:r w:rsidR="001E0668" w:rsidRPr="00A41002">
        <w:t>incidentista</w:t>
      </w:r>
      <w:r w:rsidRPr="00A41002">
        <w:t xml:space="preserve"> señala que la diligencia realizada por </w:t>
      </w:r>
      <w:r w:rsidR="001E0668" w:rsidRPr="00A41002">
        <w:t>el funcionariado</w:t>
      </w:r>
      <w:r w:rsidRPr="00A41002">
        <w:t xml:space="preserve"> del Tribunal Electoral local, así como del </w:t>
      </w:r>
      <w:r w:rsidR="00202098" w:rsidRPr="00A41002">
        <w:t>A</w:t>
      </w:r>
      <w:r w:rsidRPr="00A41002">
        <w:t xml:space="preserve">yuntamiento, </w:t>
      </w:r>
      <w:r w:rsidR="00B81939" w:rsidRPr="00A41002">
        <w:t>vulneró</w:t>
      </w:r>
      <w:r w:rsidRPr="00A41002">
        <w:t xml:space="preserve"> sus derechos político-electorales y de la ciudadanía al haber sido ejecutada de manera defectuosa pues, a su decir, actuaron escasamente al revisar si se encontraban separados los seis o tres votos controvertidos, cuando lo correcto debió ser que se realizara la diligencia con mayor acuciosidad y exhaustividad para brindar certeza sobre la localización de los votos nulos, no solo en un sobre sino en todo el expediente electoral.</w:t>
      </w:r>
    </w:p>
    <w:p w14:paraId="518BB3CD" w14:textId="43BC5D22" w:rsidR="006A3D8A" w:rsidRPr="00A41002" w:rsidRDefault="006A3D8A" w:rsidP="001E0668">
      <w:pPr>
        <w:pStyle w:val="numerados"/>
        <w:ind w:left="0" w:hanging="1"/>
      </w:pPr>
      <w:r w:rsidRPr="00A41002">
        <w:t xml:space="preserve">Refiere que las autoridades debieron remover los obstáculos a partir de la realización de una investigación mayor para localizar e identificar las seis o tres boletas motivo de la controversia, partiendo de una interpretación integra de los parámetros reconocidos por esta </w:t>
      </w:r>
      <w:r w:rsidR="00B81939" w:rsidRPr="00A41002">
        <w:t xml:space="preserve">Sala Regional </w:t>
      </w:r>
      <w:r w:rsidRPr="00A41002">
        <w:t>y no a partir de un entendimiento parcial erróneo al primero de los supuestos citado en el acuerdo de sala.</w:t>
      </w:r>
    </w:p>
    <w:p w14:paraId="777DACDD" w14:textId="2B560E53" w:rsidR="006A3D8A" w:rsidRPr="00A41002" w:rsidRDefault="00B81939" w:rsidP="001E0668">
      <w:pPr>
        <w:pStyle w:val="numerados"/>
        <w:ind w:left="0" w:hanging="1"/>
      </w:pPr>
      <w:r w:rsidRPr="00A41002">
        <w:t>Considera</w:t>
      </w:r>
      <w:r w:rsidR="006A3D8A" w:rsidRPr="00A41002">
        <w:t xml:space="preserve"> que</w:t>
      </w:r>
      <w:r w:rsidRPr="00A41002">
        <w:t>,</w:t>
      </w:r>
      <w:r w:rsidR="006A3D8A" w:rsidRPr="00A41002">
        <w:t xml:space="preserve"> </w:t>
      </w:r>
      <w:r w:rsidR="000631BA" w:rsidRPr="00A41002">
        <w:t>el funcionariado</w:t>
      </w:r>
      <w:r w:rsidR="00441D11" w:rsidRPr="00A41002">
        <w:t xml:space="preserve"> </w:t>
      </w:r>
      <w:r w:rsidR="006A3D8A" w:rsidRPr="00A41002">
        <w:t>del Tribunal Electoral local ejecut</w:t>
      </w:r>
      <w:r w:rsidR="00441D11" w:rsidRPr="00A41002">
        <w:t>ó</w:t>
      </w:r>
      <w:r w:rsidR="006A3D8A" w:rsidRPr="00A41002">
        <w:t xml:space="preserve"> de manera defectuosa la diligencia al hacer una interpretación incorrecta, parcial y sesgada del acuerdo de sala dictado por el Pleno de esta Sala Regional, dejando de observar </w:t>
      </w:r>
      <w:r w:rsidR="006A3D8A" w:rsidRPr="00A41002">
        <w:lastRenderedPageBreak/>
        <w:t>los principios de exhaustividad y certeza, las cuales rigen la materia electoral.</w:t>
      </w:r>
    </w:p>
    <w:p w14:paraId="2B5DA1FB" w14:textId="3A0E89B8" w:rsidR="006A3D8A" w:rsidRPr="00A41002" w:rsidRDefault="006A3D8A" w:rsidP="001E0668">
      <w:pPr>
        <w:pStyle w:val="numerados"/>
        <w:ind w:left="0" w:hanging="1"/>
      </w:pPr>
      <w:r w:rsidRPr="00A41002">
        <w:t xml:space="preserve">Lo anterior ya que, las autoridades responsables de la diligencia se ciñeron a identificar si se ubicaban los seis votos </w:t>
      </w:r>
      <w:r w:rsidR="00B81939" w:rsidRPr="00A41002">
        <w:t>originalmente calificados</w:t>
      </w:r>
      <w:r w:rsidRPr="00A41002">
        <w:t xml:space="preserve"> como nulos por la mesa receptora y si estos se encontraban separados o bien, si </w:t>
      </w:r>
      <w:r w:rsidR="00B81939" w:rsidRPr="00A41002">
        <w:t>s</w:t>
      </w:r>
      <w:r w:rsidRPr="00A41002">
        <w:t xml:space="preserve">e identificaban los tres votos nulos confirmados por el Consejo </w:t>
      </w:r>
      <w:r w:rsidR="000631BA" w:rsidRPr="00A41002">
        <w:t>Electoral</w:t>
      </w:r>
      <w:r w:rsidRPr="00A41002">
        <w:t xml:space="preserve"> que </w:t>
      </w:r>
      <w:r w:rsidR="00441D11" w:rsidRPr="00A41002">
        <w:t xml:space="preserve">los </w:t>
      </w:r>
      <w:r w:rsidRPr="00A41002">
        <w:t>recalificó, por lo tanto, al no haberse identificado la separación de las referidas boletas se dio por concluida la diligencia sin realizar algún otro acto tendente a buscarlos e identificarlos.</w:t>
      </w:r>
    </w:p>
    <w:p w14:paraId="421BF239" w14:textId="2870E441" w:rsidR="006A3D8A" w:rsidRPr="00A41002" w:rsidRDefault="006A3D8A" w:rsidP="000631BA">
      <w:pPr>
        <w:pStyle w:val="numerados"/>
        <w:ind w:left="0" w:hanging="1"/>
      </w:pPr>
      <w:r w:rsidRPr="00A41002">
        <w:t xml:space="preserve">En ese sentido, manifiesta que, al abrir el expediente electoral, </w:t>
      </w:r>
      <w:r w:rsidR="000631BA" w:rsidRPr="00A41002">
        <w:t>el funcionariado</w:t>
      </w:r>
      <w:r w:rsidRPr="00A41002">
        <w:t xml:space="preserve"> estaba en la posibilidad de desplegar mayores diligencias para encontrar l</w:t>
      </w:r>
      <w:r w:rsidR="000631BA" w:rsidRPr="00A41002">
        <w:t xml:space="preserve">os </w:t>
      </w:r>
      <w:r w:rsidRPr="00A41002">
        <w:t>votos nulos, sin embargo, solo advirtieron que en un sobre había una sola boleta, sin verificar si se trataba de un voto nulo pues dieron por sentado que lo era solo por encontrarse en el sobre.</w:t>
      </w:r>
    </w:p>
    <w:p w14:paraId="45285EF5" w14:textId="671FAE7D" w:rsidR="006A3D8A" w:rsidRPr="00A41002" w:rsidRDefault="006A3D8A" w:rsidP="000631BA">
      <w:pPr>
        <w:pStyle w:val="numerados"/>
        <w:ind w:left="0" w:hanging="1"/>
      </w:pPr>
      <w:r w:rsidRPr="00A41002">
        <w:t>Refiere que</w:t>
      </w:r>
      <w:r w:rsidR="000631BA" w:rsidRPr="00A41002">
        <w:t>,</w:t>
      </w:r>
      <w:r w:rsidRPr="00A41002">
        <w:t xml:space="preserve"> </w:t>
      </w:r>
      <w:r w:rsidR="000631BA" w:rsidRPr="00A41002">
        <w:t xml:space="preserve">el funcionariado </w:t>
      </w:r>
      <w:r w:rsidRPr="00A41002">
        <w:t>encargado de la diligencia deb</w:t>
      </w:r>
      <w:r w:rsidR="000631BA" w:rsidRPr="00A41002">
        <w:t xml:space="preserve">ió </w:t>
      </w:r>
      <w:r w:rsidRPr="00A41002">
        <w:t>acudir a las reglas de la lógica, la sana crítica y de la experiencia pues era dable concluir que el paquete, al haber sido objeto de recuento, no iba a estar necesariamente separado en forma intacta, por lo que, la interpretación de lo ordenado por esta Sala Regional fue errónea.</w:t>
      </w:r>
    </w:p>
    <w:p w14:paraId="38CFA636" w14:textId="09822DB7" w:rsidR="006A3D8A" w:rsidRPr="00A41002" w:rsidRDefault="006A3D8A" w:rsidP="000631BA">
      <w:pPr>
        <w:pStyle w:val="numerados"/>
        <w:ind w:left="0" w:hanging="1"/>
      </w:pPr>
      <w:r w:rsidRPr="00A41002">
        <w:t>Pues, el acuerdo de sala referido es un texto enunciativo mas no limitativo, aspecto que no atendi</w:t>
      </w:r>
      <w:r w:rsidR="007068EF" w:rsidRPr="00A41002">
        <w:t>ó</w:t>
      </w:r>
      <w:r w:rsidRPr="00A41002">
        <w:t xml:space="preserve"> </w:t>
      </w:r>
      <w:r w:rsidR="000631BA" w:rsidRPr="00A41002">
        <w:t>el funcionariado</w:t>
      </w:r>
      <w:r w:rsidR="007068EF" w:rsidRPr="00A41002">
        <w:t xml:space="preserve"> </w:t>
      </w:r>
      <w:r w:rsidRPr="00A41002">
        <w:t>del TEEY.</w:t>
      </w:r>
    </w:p>
    <w:p w14:paraId="11282ADB" w14:textId="4413C8A7" w:rsidR="006A3D8A" w:rsidRPr="00A41002" w:rsidRDefault="007068EF" w:rsidP="000631BA">
      <w:pPr>
        <w:pStyle w:val="numerados"/>
        <w:ind w:left="0" w:hanging="1"/>
      </w:pPr>
      <w:r w:rsidRPr="00A41002">
        <w:lastRenderedPageBreak/>
        <w:t>Por lo anterior, argumenta</w:t>
      </w:r>
      <w:r w:rsidR="006A3D8A" w:rsidRPr="00A41002">
        <w:t xml:space="preserve"> que lo correcto era realizar mayores acciones para verificar si efectivamente las seis o tres boletas, se encontraban en alguna parte del paquete electoral y no únicamente como actuó, que fue verificar si existía la separación o no de los votos y por tanto al haber encontrado una sola boleta electoral, dar por concluida la diligencia judicial, sin haber obtenido mayores elementos e indicios que permitieran demostrar la certeza </w:t>
      </w:r>
      <w:r w:rsidRPr="00A41002">
        <w:t>con relación al</w:t>
      </w:r>
      <w:r w:rsidR="006A3D8A" w:rsidRPr="00A41002">
        <w:t xml:space="preserve"> resultado electoral.</w:t>
      </w:r>
    </w:p>
    <w:p w14:paraId="4D00C0BD" w14:textId="77777777" w:rsidR="006A3D8A" w:rsidRPr="00A41002" w:rsidRDefault="006A3D8A" w:rsidP="007068EF">
      <w:pPr>
        <w:pStyle w:val="numerados"/>
        <w:ind w:left="0" w:hanging="1"/>
      </w:pPr>
      <w:r w:rsidRPr="00A41002">
        <w:t>Es decir, el TEEY tenía el deber de comprender que de manera enunciativa se brindaron una serie de hipótesis para que tales acciones tuvieran como propósito principal esclarecer el sentido de las boletas electorales controvertidas para definir al candidato ganador.</w:t>
      </w:r>
    </w:p>
    <w:p w14:paraId="30EF00CE" w14:textId="77777777" w:rsidR="006A3D8A" w:rsidRPr="00A41002" w:rsidRDefault="006A3D8A" w:rsidP="007068EF">
      <w:pPr>
        <w:pStyle w:val="numerados"/>
        <w:ind w:left="0" w:hanging="1"/>
      </w:pPr>
      <w:r w:rsidRPr="00A41002">
        <w:t>Lo que, a su decir, se hubiera logrado si se realizaban diligencias mayores tales como abrir el total de sobres y paquete electoral, a fin de verificar el estatus de los seis y tres votos controvertidos y así, analizar la controversia de manera correcta.</w:t>
      </w:r>
    </w:p>
    <w:p w14:paraId="5BFEB920" w14:textId="77777777" w:rsidR="006A3D8A" w:rsidRPr="00A41002" w:rsidRDefault="006A3D8A" w:rsidP="007068EF">
      <w:pPr>
        <w:pStyle w:val="numerados"/>
        <w:ind w:left="0" w:hanging="1"/>
      </w:pPr>
      <w:r w:rsidRPr="00A41002">
        <w:t xml:space="preserve">Por lo anterior, sostiene que la autoridad responsable brindó una interpretación parcial y errónea del acuerdo de sala emitido el once de abril por esta Sala Regional. </w:t>
      </w:r>
    </w:p>
    <w:p w14:paraId="5EE4C10C" w14:textId="5D181C89" w:rsidR="006A3D8A" w:rsidRPr="00A41002" w:rsidRDefault="006A3D8A" w:rsidP="00B36E3B">
      <w:pPr>
        <w:pStyle w:val="numerados"/>
        <w:ind w:left="0" w:hanging="1"/>
      </w:pPr>
      <w:r w:rsidRPr="00A41002">
        <w:t xml:space="preserve">Señala que, además, la autoridad responsable tenía la posibilidad legal, conforme a lo previsto en el acuerdo de sala, de realizar mayores acciones siempre y cuando se realizara una descripción de las circunstancias acontecidas e, incluso, que el párrafo 42.11 del acuerdo de sala, señalaba que la magistratura electoral encargada de la diligencia podía resolver cualquier </w:t>
      </w:r>
      <w:r w:rsidRPr="00A41002">
        <w:lastRenderedPageBreak/>
        <w:t>situación no prevista durante el desarrollo de la diligencia, fundando y motivando el sentido de su actuación, incluso, un nuevo cómputo de la votación total relativa al ayuntamiento controvertido.</w:t>
      </w:r>
    </w:p>
    <w:p w14:paraId="08CEE033" w14:textId="77777777" w:rsidR="006A3D8A" w:rsidRPr="00A41002" w:rsidRDefault="006A3D8A" w:rsidP="00A227CC">
      <w:pPr>
        <w:pStyle w:val="numerados"/>
        <w:ind w:left="0" w:hanging="1"/>
      </w:pPr>
      <w:r w:rsidRPr="00A41002">
        <w:t>Lo anterior ya que, tomando en cuenta la grabación, era posible advertir que el paquete electoral no contenía características que demostraran alteraciones o afectaciones que impidieran aceptar la posibilidad legal de un recuento en sede jurisdiccional.</w:t>
      </w:r>
    </w:p>
    <w:p w14:paraId="57000AA0" w14:textId="77777777" w:rsidR="00994E46" w:rsidRPr="00A41002" w:rsidRDefault="006A3D8A" w:rsidP="00994E46">
      <w:pPr>
        <w:pStyle w:val="numerados"/>
        <w:ind w:left="0" w:hanging="1"/>
      </w:pPr>
      <w:r w:rsidRPr="00A41002">
        <w:t xml:space="preserve">En consecuencia, reitera que el TEEY apartó su actuar a la línea judicial y jurisprudencial sostenida por este Tribunal Federal, pues debieron realizar mayores acciones para brindar certeza </w:t>
      </w:r>
      <w:proofErr w:type="gramStart"/>
      <w:r w:rsidRPr="00A41002">
        <w:t>en relación al</w:t>
      </w:r>
      <w:proofErr w:type="gramEnd"/>
      <w:r w:rsidRPr="00A41002">
        <w:t xml:space="preserve"> resultado electoral.</w:t>
      </w:r>
    </w:p>
    <w:p w14:paraId="3CC78A9B" w14:textId="17168BDB" w:rsidR="006A3D8A" w:rsidRPr="00A41002" w:rsidRDefault="006A3D8A" w:rsidP="00994E46">
      <w:pPr>
        <w:pStyle w:val="numerados"/>
        <w:numPr>
          <w:ilvl w:val="0"/>
          <w:numId w:val="0"/>
        </w:numPr>
      </w:pPr>
      <w:r w:rsidRPr="00A41002">
        <w:rPr>
          <w:b/>
          <w:bCs/>
        </w:rPr>
        <w:t>Determinación de esta Sala Regional</w:t>
      </w:r>
    </w:p>
    <w:p w14:paraId="4E1D2211" w14:textId="14213504" w:rsidR="006A3D8A" w:rsidRPr="00A41002" w:rsidRDefault="006A3D8A" w:rsidP="00994E46">
      <w:pPr>
        <w:pStyle w:val="numerados"/>
        <w:ind w:left="0" w:hanging="1"/>
      </w:pPr>
      <w:r w:rsidRPr="00A41002">
        <w:t xml:space="preserve">Esta Sala Regional determina que </w:t>
      </w:r>
      <w:r w:rsidR="00BE1538" w:rsidRPr="00A41002">
        <w:t>el</w:t>
      </w:r>
      <w:r w:rsidRPr="00A41002">
        <w:t xml:space="preserve"> incidente de ejecución defectuosa </w:t>
      </w:r>
      <w:r w:rsidR="00BE1538" w:rsidRPr="00A41002">
        <w:t>es</w:t>
      </w:r>
      <w:r w:rsidRPr="00A41002">
        <w:t xml:space="preserve"> </w:t>
      </w:r>
      <w:r w:rsidRPr="00A41002">
        <w:rPr>
          <w:b/>
          <w:bCs/>
        </w:rPr>
        <w:t>infundado</w:t>
      </w:r>
      <w:r w:rsidRPr="00A41002">
        <w:t xml:space="preserve"> debido a que, del análisis de la diligencia realizada por el funcionariado del Tribunal Electoral del Estado de Yucatán, en colaboración con el </w:t>
      </w:r>
      <w:r w:rsidR="00BE1538" w:rsidRPr="00A41002">
        <w:t>A</w:t>
      </w:r>
      <w:r w:rsidRPr="00A41002">
        <w:t>yuntamiento de Mérida, Yucatán, se puede observar que</w:t>
      </w:r>
      <w:r w:rsidR="00680342" w:rsidRPr="00A41002">
        <w:t xml:space="preserve"> </w:t>
      </w:r>
      <w:r w:rsidR="002D5019" w:rsidRPr="00A41002">
        <w:t xml:space="preserve">no fue posible identificar los seis votos originalmente calificados como nulos, </w:t>
      </w:r>
      <w:r w:rsidR="00E22A9F" w:rsidRPr="00A41002">
        <w:t xml:space="preserve">lo que era, ni más ni menos, el objetivo de dicha diligencia, </w:t>
      </w:r>
      <w:r w:rsidRPr="00A41002">
        <w:t>tal como se explica a continuación.</w:t>
      </w:r>
    </w:p>
    <w:p w14:paraId="41AD06B3" w14:textId="6B3850BF" w:rsidR="004C3506" w:rsidRPr="00A41002" w:rsidRDefault="004C3506" w:rsidP="00994E46">
      <w:pPr>
        <w:pStyle w:val="numerados"/>
        <w:ind w:left="0" w:hanging="1"/>
      </w:pPr>
      <w:r w:rsidRPr="00A41002">
        <w:t>E</w:t>
      </w:r>
      <w:r w:rsidR="006A3D8A" w:rsidRPr="00A41002">
        <w:t xml:space="preserve">n el acuerdo de </w:t>
      </w:r>
      <w:r w:rsidRPr="00A41002">
        <w:t>s</w:t>
      </w:r>
      <w:r w:rsidR="006A3D8A" w:rsidRPr="00A41002">
        <w:t xml:space="preserve">ala, dictado el once de abril del presente año, por el Pleno de esta Sala Regional, se ordenó expresamente la apertura del paquete electoral de la elección de </w:t>
      </w:r>
      <w:proofErr w:type="spellStart"/>
      <w:r w:rsidR="006A3D8A" w:rsidRPr="00A41002">
        <w:t>Xcumpich</w:t>
      </w:r>
      <w:proofErr w:type="spellEnd"/>
      <w:r w:rsidR="006A3D8A" w:rsidRPr="00A41002">
        <w:t xml:space="preserve"> en </w:t>
      </w:r>
      <w:r w:rsidR="006A3D8A" w:rsidRPr="00A41002">
        <w:lastRenderedPageBreak/>
        <w:t xml:space="preserve">Mérida, Yucatán, </w:t>
      </w:r>
      <w:r w:rsidRPr="00A41002">
        <w:t xml:space="preserve">la cual </w:t>
      </w:r>
      <w:r w:rsidRPr="00A41002">
        <w:rPr>
          <w:b/>
          <w:bCs/>
        </w:rPr>
        <w:t>tenía como finalidad</w:t>
      </w:r>
      <w:r w:rsidR="003F1D3A" w:rsidRPr="00A41002">
        <w:rPr>
          <w:b/>
          <w:bCs/>
        </w:rPr>
        <w:t xml:space="preserve"> verificar si </w:t>
      </w:r>
      <w:r w:rsidR="009A1605" w:rsidRPr="00A41002">
        <w:rPr>
          <w:b/>
          <w:bCs/>
        </w:rPr>
        <w:t>los seis votos originalmente calificados como nulos por la mesa receptora, seguían siendo identificables dentro del paquete electoral</w:t>
      </w:r>
      <w:r w:rsidR="009A1605" w:rsidRPr="00A41002">
        <w:t>.</w:t>
      </w:r>
    </w:p>
    <w:p w14:paraId="4EB0C423" w14:textId="6D8BC013" w:rsidR="006A3D8A" w:rsidRPr="00A41002" w:rsidRDefault="009A1605" w:rsidP="00994E46">
      <w:pPr>
        <w:pStyle w:val="numerados"/>
        <w:ind w:left="0" w:hanging="1"/>
      </w:pPr>
      <w:r w:rsidRPr="00A41002">
        <w:t xml:space="preserve">En ese sentido, en el acuerdo referido se establecieron </w:t>
      </w:r>
      <w:r w:rsidR="006A3D8A" w:rsidRPr="00A41002">
        <w:t>una serie de directrices</w:t>
      </w:r>
      <w:r w:rsidRPr="00A41002">
        <w:t xml:space="preserve"> que el funcionariado actuante tenía que seguir en el desarrollo de la diligencia, con la intención de que</w:t>
      </w:r>
      <w:r w:rsidR="006A3D8A" w:rsidRPr="00A41002">
        <w:t xml:space="preserve"> este órgano jurisdiccional estuviera en posibilidad de conocer las condiciones en las que se encontraba el paquete electoral de dicha elección.</w:t>
      </w:r>
    </w:p>
    <w:p w14:paraId="247B0401" w14:textId="6CA02888" w:rsidR="006A3D8A" w:rsidRPr="00A41002" w:rsidRDefault="006A3D8A" w:rsidP="00994E46">
      <w:pPr>
        <w:pStyle w:val="numerados"/>
        <w:ind w:left="0" w:hanging="1"/>
      </w:pPr>
      <w:r w:rsidRPr="00A41002">
        <w:t xml:space="preserve">Lo anterior, debido a que la controversia del presente asunto, gira en torno a esclarecer el desempate que se llevó a cabo en la elección de </w:t>
      </w:r>
      <w:proofErr w:type="spellStart"/>
      <w:r w:rsidRPr="00A41002">
        <w:t>Xcumpich</w:t>
      </w:r>
      <w:proofErr w:type="spellEnd"/>
      <w:r w:rsidRPr="00A41002">
        <w:t xml:space="preserve">, el cual </w:t>
      </w:r>
      <w:r w:rsidR="009A1605" w:rsidRPr="00A41002">
        <w:t>derivó de</w:t>
      </w:r>
      <w:r w:rsidR="00DB004B" w:rsidRPr="00A41002">
        <w:t>l nuevo escrutinio y cómputo realizado por el Consejo Electoral</w:t>
      </w:r>
      <w:r w:rsidRPr="00A41002">
        <w:t>.</w:t>
      </w:r>
    </w:p>
    <w:p w14:paraId="1E5556D5" w14:textId="580DA366" w:rsidR="006A3D8A" w:rsidRPr="00A41002" w:rsidRDefault="006A3D8A" w:rsidP="006F6CDB">
      <w:pPr>
        <w:pStyle w:val="numerados"/>
        <w:ind w:left="0" w:hanging="1"/>
      </w:pPr>
      <w:r w:rsidRPr="00A41002">
        <w:t xml:space="preserve"> Ahora bien, atendiendo el hecho de que al aperturar el paquete se podrían presentar diversos escenarios, en el acuerdo referido se señaló</w:t>
      </w:r>
      <w:r w:rsidR="00EC3B9A" w:rsidRPr="00A41002">
        <w:t>, entre otras directrices,</w:t>
      </w:r>
      <w:r w:rsidRPr="00A41002">
        <w:t xml:space="preserve"> lo siguiente:</w:t>
      </w:r>
    </w:p>
    <w:p w14:paraId="4AF0F342" w14:textId="729CEC08" w:rsidR="006A3D8A" w:rsidRPr="00A41002" w:rsidRDefault="00EA166C" w:rsidP="006836DD">
      <w:pPr>
        <w:pStyle w:val="numerados"/>
        <w:numPr>
          <w:ilvl w:val="0"/>
          <w:numId w:val="0"/>
        </w:numPr>
        <w:spacing w:before="120" w:after="120" w:line="240" w:lineRule="auto"/>
        <w:ind w:left="567" w:right="471"/>
        <w:rPr>
          <w:sz w:val="24"/>
          <w:szCs w:val="24"/>
        </w:rPr>
      </w:pPr>
      <w:r w:rsidRPr="00A41002">
        <w:rPr>
          <w:sz w:val="24"/>
          <w:szCs w:val="24"/>
        </w:rPr>
        <w:t xml:space="preserve">42.10 </w:t>
      </w:r>
      <w:r w:rsidR="006A3D8A" w:rsidRPr="00A41002">
        <w:rPr>
          <w:sz w:val="24"/>
          <w:szCs w:val="24"/>
        </w:rPr>
        <w:t>“En atención a las condiciones en que se encuentre el paquete electoral, se procederá a realizar, cualquiera de las opciones siguientes:</w:t>
      </w:r>
    </w:p>
    <w:p w14:paraId="6CDCE0A0" w14:textId="77777777" w:rsidR="009113E7" w:rsidRPr="00A41002" w:rsidRDefault="009113E7" w:rsidP="009113E7">
      <w:pPr>
        <w:pStyle w:val="numerados"/>
        <w:numPr>
          <w:ilvl w:val="0"/>
          <w:numId w:val="8"/>
        </w:numPr>
        <w:spacing w:before="120" w:after="120" w:line="240" w:lineRule="auto"/>
        <w:ind w:left="1276" w:right="473" w:hanging="357"/>
        <w:rPr>
          <w:sz w:val="24"/>
          <w:szCs w:val="24"/>
        </w:rPr>
      </w:pPr>
      <w:r w:rsidRPr="00A41002">
        <w:rPr>
          <w:sz w:val="24"/>
          <w:szCs w:val="24"/>
        </w:rPr>
        <w:t xml:space="preserve">En caso de que los </w:t>
      </w:r>
      <w:r w:rsidRPr="00A41002">
        <w:rPr>
          <w:b/>
          <w:bCs/>
          <w:sz w:val="24"/>
          <w:szCs w:val="24"/>
        </w:rPr>
        <w:t>6 votos originalmente calificados como nulos por la mesa receptora no se encuentren separados del resto de votos; o que únicamente se puedan identificar los 3 votos nulos confirmados por el Consejo Electoral</w:t>
      </w:r>
      <w:r w:rsidRPr="00A41002">
        <w:rPr>
          <w:sz w:val="24"/>
          <w:szCs w:val="24"/>
        </w:rPr>
        <w:t xml:space="preserve">, se asentará lo anterior en las actas circunstanciadas levantadas en la diligencia, dándose oportunidad a las candidaturas o sus representaciones a manifestar de forma breve y concisa hasta por cinco minutos en una sola ocasión, lo que a su interés convenga. Hecho lo anterior, se procederá a devolver el contenido y nuevamente a sellar y resguardar debidamente el paquete electoral en la bodega </w:t>
      </w:r>
      <w:r w:rsidRPr="00A41002">
        <w:rPr>
          <w:sz w:val="24"/>
          <w:szCs w:val="24"/>
        </w:rPr>
        <w:lastRenderedPageBreak/>
        <w:t>designada para tal efecto que igualmente deberá ser sellada.</w:t>
      </w:r>
    </w:p>
    <w:p w14:paraId="70A24DE4" w14:textId="77777777" w:rsidR="009113E7" w:rsidRPr="00A41002" w:rsidRDefault="009113E7" w:rsidP="009113E7">
      <w:pPr>
        <w:pStyle w:val="numerados"/>
        <w:numPr>
          <w:ilvl w:val="0"/>
          <w:numId w:val="0"/>
        </w:numPr>
        <w:spacing w:before="120" w:after="120" w:line="240" w:lineRule="auto"/>
        <w:ind w:left="1276" w:right="473"/>
        <w:rPr>
          <w:sz w:val="24"/>
          <w:szCs w:val="24"/>
        </w:rPr>
      </w:pPr>
      <w:r w:rsidRPr="00A41002">
        <w:rPr>
          <w:sz w:val="24"/>
          <w:szCs w:val="24"/>
        </w:rPr>
        <w:t xml:space="preserve">Enseguida, se dará por finalizada la diligencia y, dentro de las veinticuatro horas siguientes, las autoridades involucradas deberán remitir el original de las actas circunstanciadas levantadas durante del desarrollo de la diligencia, así como las videograbaciones respectivas a esta Sala Regional ubicada </w:t>
      </w:r>
      <w:r w:rsidRPr="00A41002">
        <w:rPr>
          <w:sz w:val="24"/>
          <w:szCs w:val="24"/>
          <w:lang w:val="es-419"/>
        </w:rPr>
        <w:t>en el domicilio Rafael Sánchez Altamirano número quince, esquina Cuauhtémoc, Fraccionamiento Valle Rubí, Colonia Jardines de las Ánimas, código postal 91190, en esta ciudad de Xalapa, Veracruz</w:t>
      </w:r>
      <w:r w:rsidRPr="00A41002">
        <w:rPr>
          <w:sz w:val="24"/>
          <w:szCs w:val="24"/>
        </w:rPr>
        <w:t>.</w:t>
      </w:r>
    </w:p>
    <w:p w14:paraId="1D9306A9" w14:textId="77777777" w:rsidR="009113E7" w:rsidRPr="00A41002" w:rsidRDefault="009113E7" w:rsidP="009113E7">
      <w:pPr>
        <w:pStyle w:val="numerados"/>
        <w:numPr>
          <w:ilvl w:val="0"/>
          <w:numId w:val="8"/>
        </w:numPr>
        <w:spacing w:before="120" w:after="120" w:line="240" w:lineRule="auto"/>
        <w:ind w:left="1276" w:right="473" w:hanging="357"/>
        <w:rPr>
          <w:sz w:val="24"/>
          <w:szCs w:val="24"/>
        </w:rPr>
      </w:pPr>
      <w:r w:rsidRPr="00A41002">
        <w:rPr>
          <w:sz w:val="24"/>
          <w:szCs w:val="24"/>
        </w:rPr>
        <w:t xml:space="preserve">En caso de que los </w:t>
      </w:r>
      <w:r w:rsidRPr="00A41002">
        <w:rPr>
          <w:b/>
          <w:bCs/>
          <w:sz w:val="24"/>
          <w:szCs w:val="24"/>
        </w:rPr>
        <w:t>6 votos originalmente calificados como nulos por la mesa receptora, se encuentren resguardados separados del resto de los votos válidos e inutilizados y sea posible su plena identificación</w:t>
      </w:r>
      <w:r w:rsidRPr="00A41002">
        <w:rPr>
          <w:sz w:val="24"/>
          <w:szCs w:val="24"/>
        </w:rPr>
        <w:t xml:space="preserve">, se procederá a dejar </w:t>
      </w:r>
      <w:r w:rsidRPr="00A41002">
        <w:rPr>
          <w:b/>
          <w:bCs/>
          <w:sz w:val="24"/>
          <w:szCs w:val="24"/>
        </w:rPr>
        <w:t>copia legible y debidamente certificada de cada uno de los seis votos para posteriormente resguardarlas en el paquete electoral</w:t>
      </w:r>
      <w:r w:rsidRPr="00A41002">
        <w:rPr>
          <w:sz w:val="24"/>
          <w:szCs w:val="24"/>
        </w:rPr>
        <w:t>. Deberá darse oportunidad a las candidaturas o sus representaciones a manifestar de forma breve y concisa hasta por cinco minutos en una sola ocasión, lo que a su interés convenga.</w:t>
      </w:r>
    </w:p>
    <w:p w14:paraId="2C734B5A" w14:textId="77777777" w:rsidR="009113E7" w:rsidRPr="00A41002" w:rsidRDefault="009113E7" w:rsidP="009113E7">
      <w:pPr>
        <w:pStyle w:val="numerados"/>
        <w:numPr>
          <w:ilvl w:val="0"/>
          <w:numId w:val="0"/>
        </w:numPr>
        <w:spacing w:before="120" w:after="120" w:line="240" w:lineRule="auto"/>
        <w:ind w:left="1276" w:right="473"/>
        <w:rPr>
          <w:sz w:val="24"/>
          <w:szCs w:val="24"/>
          <w:lang w:val="es-419"/>
        </w:rPr>
      </w:pPr>
      <w:r w:rsidRPr="00A41002">
        <w:rPr>
          <w:sz w:val="24"/>
          <w:szCs w:val="24"/>
          <w:lang w:val="es-419"/>
        </w:rPr>
        <w:t xml:space="preserve">Realizado lo anterior, </w:t>
      </w:r>
      <w:r w:rsidRPr="00A41002">
        <w:rPr>
          <w:b/>
          <w:bCs/>
          <w:sz w:val="24"/>
          <w:szCs w:val="24"/>
          <w:lang w:val="es-419"/>
        </w:rPr>
        <w:t>los originales de los 6 votos nulos referidos se resguardarán dentro de un sobre, el cual deberá ser debidamente sellado, firmado por el funcionariado actuante y embalado</w:t>
      </w:r>
      <w:r w:rsidRPr="00A41002">
        <w:rPr>
          <w:sz w:val="24"/>
          <w:szCs w:val="24"/>
          <w:lang w:val="es-419"/>
        </w:rPr>
        <w:t xml:space="preserve">. </w:t>
      </w:r>
    </w:p>
    <w:p w14:paraId="5E1E79E2" w14:textId="77777777" w:rsidR="009113E7" w:rsidRPr="00A41002" w:rsidRDefault="009113E7" w:rsidP="009113E7">
      <w:pPr>
        <w:pStyle w:val="numerados"/>
        <w:numPr>
          <w:ilvl w:val="0"/>
          <w:numId w:val="0"/>
        </w:numPr>
        <w:spacing w:before="120" w:after="120" w:line="240" w:lineRule="auto"/>
        <w:ind w:left="1276" w:right="473"/>
        <w:rPr>
          <w:sz w:val="24"/>
          <w:szCs w:val="24"/>
          <w:lang w:val="es-419"/>
        </w:rPr>
      </w:pPr>
      <w:r w:rsidRPr="00A41002">
        <w:rPr>
          <w:sz w:val="24"/>
          <w:szCs w:val="24"/>
          <w:lang w:val="es-419"/>
        </w:rPr>
        <w:t xml:space="preserve">Posteriormente, </w:t>
      </w:r>
      <w:r w:rsidRPr="00A41002">
        <w:rPr>
          <w:b/>
          <w:bCs/>
          <w:sz w:val="24"/>
          <w:szCs w:val="24"/>
          <w:lang w:val="es-419"/>
        </w:rPr>
        <w:t xml:space="preserve">se cerrará el paquete electoral debidamente y se devolverá a la bodega que también será cerrada con las medidas de seguridad pertinentes </w:t>
      </w:r>
      <w:r w:rsidRPr="00A41002">
        <w:rPr>
          <w:sz w:val="24"/>
          <w:szCs w:val="24"/>
          <w:lang w:val="es-419"/>
        </w:rPr>
        <w:t>y con ello se declarará por concluida la diligencia.</w:t>
      </w:r>
    </w:p>
    <w:p w14:paraId="5236CA29" w14:textId="77777777" w:rsidR="009113E7" w:rsidRPr="00A41002" w:rsidRDefault="009113E7" w:rsidP="009113E7">
      <w:pPr>
        <w:pStyle w:val="numerados"/>
        <w:numPr>
          <w:ilvl w:val="0"/>
          <w:numId w:val="0"/>
        </w:numPr>
        <w:spacing w:before="120" w:after="120" w:line="240" w:lineRule="auto"/>
        <w:ind w:left="1276" w:right="473"/>
        <w:rPr>
          <w:sz w:val="24"/>
          <w:szCs w:val="24"/>
          <w:lang w:val="es-419"/>
        </w:rPr>
      </w:pPr>
      <w:r w:rsidRPr="00A41002">
        <w:rPr>
          <w:sz w:val="24"/>
          <w:szCs w:val="24"/>
          <w:lang w:val="es-419"/>
        </w:rPr>
        <w:t xml:space="preserve">De manera inmediata, corresponderá a la persona secretaria de estudio y cuenta del Tribunal Electoral junto con el secretario del ayuntamiento, remitir dicho sobre a esta Sala Regional por mensajería especializada, ubicada en el domicilio Rafael Sánchez Altamirano número quince, esquina Cuauhtémoc, Fraccionamiento Valle Rubí, Colonia Jardines de las Ánimas, código postal 91190, en esta ciudad de Xalapa, Veracruz. </w:t>
      </w:r>
      <w:r w:rsidRPr="00A41002">
        <w:rPr>
          <w:b/>
          <w:bCs/>
          <w:sz w:val="24"/>
          <w:szCs w:val="24"/>
          <w:lang w:val="es-419"/>
        </w:rPr>
        <w:t>Lo cual deberá quedar registrado y certificado en las diversas actas que se levanten para el presente efecto</w:t>
      </w:r>
      <w:r w:rsidRPr="00A41002">
        <w:rPr>
          <w:sz w:val="24"/>
          <w:szCs w:val="24"/>
          <w:lang w:val="es-419"/>
        </w:rPr>
        <w:t>.</w:t>
      </w:r>
    </w:p>
    <w:p w14:paraId="1AF678CA" w14:textId="77777777" w:rsidR="009113E7" w:rsidRPr="00A41002" w:rsidRDefault="009113E7" w:rsidP="009113E7">
      <w:pPr>
        <w:pStyle w:val="numerados"/>
        <w:numPr>
          <w:ilvl w:val="0"/>
          <w:numId w:val="0"/>
        </w:numPr>
        <w:spacing w:before="120" w:after="120" w:line="240" w:lineRule="auto"/>
        <w:ind w:left="1276" w:right="473"/>
        <w:rPr>
          <w:sz w:val="24"/>
          <w:szCs w:val="24"/>
          <w:lang w:val="es-419"/>
        </w:rPr>
      </w:pPr>
      <w:r w:rsidRPr="00A41002">
        <w:rPr>
          <w:sz w:val="24"/>
          <w:szCs w:val="24"/>
          <w:lang w:val="es-419"/>
        </w:rPr>
        <w:t>Todos los originales de las actas que se generen, a</w:t>
      </w:r>
      <w:r w:rsidRPr="00A41002">
        <w:rPr>
          <w:sz w:val="24"/>
          <w:szCs w:val="24"/>
        </w:rPr>
        <w:t>sí como los archivos de videograbación respectivos, deberán ser remitidos a esta Sala Regional dentro de las veinticuatro horas siguientes al domicilio arriba citado.</w:t>
      </w:r>
    </w:p>
    <w:p w14:paraId="7C849474" w14:textId="77777777" w:rsidR="009113E7" w:rsidRPr="00A41002" w:rsidRDefault="009113E7" w:rsidP="009113E7">
      <w:pPr>
        <w:pStyle w:val="numerados"/>
        <w:numPr>
          <w:ilvl w:val="0"/>
          <w:numId w:val="8"/>
        </w:numPr>
        <w:spacing w:before="120" w:after="120" w:line="240" w:lineRule="auto"/>
        <w:ind w:left="1276" w:right="473" w:hanging="357"/>
        <w:rPr>
          <w:sz w:val="24"/>
          <w:szCs w:val="24"/>
          <w:lang w:val="es-419"/>
        </w:rPr>
      </w:pPr>
      <w:r w:rsidRPr="00A41002">
        <w:rPr>
          <w:sz w:val="24"/>
          <w:szCs w:val="24"/>
          <w:lang w:val="es-419"/>
        </w:rPr>
        <w:lastRenderedPageBreak/>
        <w:t>En caso de actualizarse una hipótesis diversa a las reseñadas en el presente acuerdo, deberá ser descrita en las actas circunstanciadas respectivas, dar por finalizada la diligencia y, dentro de las veinticuatro horas siguientes, remitirlas junto con el archivo de videograbación de la diligencia a esta Sala Regional en el domicilio multicitado.</w:t>
      </w:r>
    </w:p>
    <w:p w14:paraId="0F3D05E9" w14:textId="690F759E" w:rsidR="006A3D8A" w:rsidRPr="00A41002" w:rsidRDefault="00EA166C" w:rsidP="006836DD">
      <w:pPr>
        <w:pStyle w:val="numerados"/>
        <w:numPr>
          <w:ilvl w:val="0"/>
          <w:numId w:val="0"/>
        </w:numPr>
        <w:spacing w:before="120" w:after="120" w:line="240" w:lineRule="auto"/>
        <w:ind w:left="567" w:right="471"/>
        <w:rPr>
          <w:sz w:val="24"/>
          <w:szCs w:val="24"/>
        </w:rPr>
      </w:pPr>
      <w:r w:rsidRPr="00A41002">
        <w:rPr>
          <w:sz w:val="24"/>
          <w:szCs w:val="24"/>
        </w:rPr>
        <w:t xml:space="preserve">42.11 </w:t>
      </w:r>
      <w:r w:rsidR="006A3D8A" w:rsidRPr="00A41002">
        <w:rPr>
          <w:sz w:val="24"/>
          <w:szCs w:val="24"/>
        </w:rPr>
        <w:t>Cualquier situación no prevista durante el desarrollo de la diligencia será resuelta por la magistratura electoral encargada de la diligencia, fundando y motivando el sentido de su actuación</w:t>
      </w:r>
      <w:r w:rsidR="009113E7" w:rsidRPr="00A41002">
        <w:rPr>
          <w:sz w:val="24"/>
          <w:szCs w:val="24"/>
        </w:rPr>
        <w:t>.</w:t>
      </w:r>
      <w:r w:rsidR="006A3D8A" w:rsidRPr="00A41002">
        <w:rPr>
          <w:sz w:val="24"/>
          <w:szCs w:val="24"/>
        </w:rPr>
        <w:t>”</w:t>
      </w:r>
    </w:p>
    <w:p w14:paraId="3318763D" w14:textId="3A96650C" w:rsidR="006A3D8A" w:rsidRPr="00A41002" w:rsidRDefault="006A3D8A" w:rsidP="009113E7">
      <w:pPr>
        <w:pStyle w:val="numerados"/>
        <w:ind w:left="0" w:hanging="1"/>
      </w:pPr>
      <w:r w:rsidRPr="00A41002">
        <w:t xml:space="preserve">En ese sentido, del desahogo de la diligencia, </w:t>
      </w:r>
      <w:r w:rsidR="00E178F7" w:rsidRPr="00A41002">
        <w:t xml:space="preserve">se puede observar </w:t>
      </w:r>
      <w:r w:rsidRPr="00A41002">
        <w:t xml:space="preserve">que el funcionariado del Tribunal Electoral local, en auxilio de diversos integrantes del ayuntamiento de Mérida, Yucatán, en presencia de </w:t>
      </w:r>
      <w:r w:rsidR="009113E7" w:rsidRPr="00A41002">
        <w:t>las candidaturas y s</w:t>
      </w:r>
      <w:r w:rsidR="00C21F0D" w:rsidRPr="00A41002">
        <w:t>us representaciones</w:t>
      </w:r>
      <w:r w:rsidRPr="00A41002">
        <w:t xml:space="preserve">, </w:t>
      </w:r>
      <w:r w:rsidR="00E178F7" w:rsidRPr="00A41002">
        <w:t>acudieron a las instalaciones donde se encontraba resguardado el paquete</w:t>
      </w:r>
      <w:r w:rsidR="00C21F0D" w:rsidRPr="00A41002">
        <w:t>,</w:t>
      </w:r>
      <w:r w:rsidRPr="00A41002">
        <w:t xml:space="preserve"> verificando primero las condiciones en que fue resguardado, </w:t>
      </w:r>
      <w:r w:rsidR="00C21F0D" w:rsidRPr="00A41002">
        <w:t>advirtiéndose</w:t>
      </w:r>
      <w:r w:rsidRPr="00A41002">
        <w:t xml:space="preserve"> que </w:t>
      </w:r>
      <w:r w:rsidR="00C21F0D" w:rsidRPr="00A41002">
        <w:t xml:space="preserve">la bodega y </w:t>
      </w:r>
      <w:r w:rsidRPr="00A41002">
        <w:t>el paquete no tenía alteraciones</w:t>
      </w:r>
      <w:r w:rsidR="00C21F0D" w:rsidRPr="00A41002">
        <w:t xml:space="preserve"> evidentes</w:t>
      </w:r>
      <w:r w:rsidRPr="00A41002">
        <w:t>.</w:t>
      </w:r>
    </w:p>
    <w:p w14:paraId="4C7CDDA6" w14:textId="5706CA9F" w:rsidR="006A3D8A" w:rsidRPr="00A41002" w:rsidRDefault="00163B22" w:rsidP="009113E7">
      <w:pPr>
        <w:pStyle w:val="numerados"/>
        <w:ind w:left="0" w:hanging="1"/>
      </w:pPr>
      <w:r w:rsidRPr="00A41002">
        <w:t>Posteriormente</w:t>
      </w:r>
      <w:r w:rsidR="006A3D8A" w:rsidRPr="00A41002">
        <w:t>,</w:t>
      </w:r>
      <w:r w:rsidRPr="00A41002">
        <w:t xml:space="preserve"> la magistratura del TEEY procedió</w:t>
      </w:r>
      <w:r w:rsidR="00DA4BA9" w:rsidRPr="00A41002">
        <w:t xml:space="preserve"> a</w:t>
      </w:r>
      <w:r w:rsidR="006A3D8A" w:rsidRPr="00A41002">
        <w:t xml:space="preserve"> aperturar el paquete</w:t>
      </w:r>
      <w:r w:rsidR="00E22A9F" w:rsidRPr="00A41002">
        <w:t xml:space="preserve"> e </w:t>
      </w:r>
      <w:r w:rsidR="00854017" w:rsidRPr="00A41002">
        <w:t>inmediatamente</w:t>
      </w:r>
      <w:r w:rsidR="006A3D8A" w:rsidRPr="00A41002">
        <w:t xml:space="preserve"> verificó lo ordenado por esta Sala Regional respecto a la identificación de los votos nulos, no obstante, se constató en ese momento que se encontró un solo voto nulo, el cual estaba separado </w:t>
      </w:r>
      <w:r w:rsidR="00DA4BA9" w:rsidRPr="00A41002">
        <w:t>del resto de</w:t>
      </w:r>
      <w:r w:rsidR="00CE2611" w:rsidRPr="00A41002">
        <w:t xml:space="preserve"> votos</w:t>
      </w:r>
      <w:r w:rsidR="006A3D8A" w:rsidRPr="00A41002">
        <w:t>.</w:t>
      </w:r>
    </w:p>
    <w:p w14:paraId="6D4FFAD3" w14:textId="77777777" w:rsidR="006A3D8A" w:rsidRPr="00A41002" w:rsidRDefault="006A3D8A" w:rsidP="009113E7">
      <w:pPr>
        <w:pStyle w:val="numerados"/>
        <w:ind w:left="0" w:hanging="1"/>
      </w:pPr>
      <w:r w:rsidRPr="00A41002">
        <w:t>Por lo anterior, una vez hechas las manifestaciones del representante de la candidata Gabina del Rosario Mex Vivas se procedió a sellar y cerrar el paquete electoral y se dio por concluida la diligencia.</w:t>
      </w:r>
    </w:p>
    <w:p w14:paraId="6AAAB4BA" w14:textId="3C38B2AF" w:rsidR="00AE377A" w:rsidRPr="00A41002" w:rsidRDefault="006A3D8A" w:rsidP="00CE2611">
      <w:pPr>
        <w:pStyle w:val="numerados"/>
        <w:ind w:left="0" w:hanging="1"/>
      </w:pPr>
      <w:r w:rsidRPr="00A41002">
        <w:t xml:space="preserve">Ahora bien, a criterio de esta Sala Regional, el hecho de que se haya identificado </w:t>
      </w:r>
      <w:r w:rsidRPr="00A41002">
        <w:rPr>
          <w:b/>
          <w:bCs/>
        </w:rPr>
        <w:t>un solo voto nulo y separado del resto</w:t>
      </w:r>
      <w:r w:rsidRPr="00A41002">
        <w:t xml:space="preserve">, con independencia de que el personal encargado de dirigir y </w:t>
      </w:r>
      <w:r w:rsidRPr="00A41002">
        <w:lastRenderedPageBreak/>
        <w:t xml:space="preserve">realizar la diligencia no haya mostrado el contenido total </w:t>
      </w:r>
      <w:r w:rsidR="003270D8" w:rsidRPr="00A41002">
        <w:t>d</w:t>
      </w:r>
      <w:r w:rsidR="00CE2611" w:rsidRPr="00A41002">
        <w:t>el paquete electoral</w:t>
      </w:r>
      <w:r w:rsidRPr="00A41002">
        <w:t xml:space="preserve">, </w:t>
      </w:r>
      <w:r w:rsidR="00484A55" w:rsidRPr="00A41002">
        <w:rPr>
          <w:b/>
          <w:bCs/>
        </w:rPr>
        <w:t xml:space="preserve">en </w:t>
      </w:r>
      <w:r w:rsidR="00AE377A" w:rsidRPr="00A41002">
        <w:rPr>
          <w:b/>
          <w:bCs/>
        </w:rPr>
        <w:t>automático</w:t>
      </w:r>
      <w:r w:rsidRPr="00A41002">
        <w:rPr>
          <w:b/>
          <w:bCs/>
        </w:rPr>
        <w:t xml:space="preserve"> actualizó la hipótesis </w:t>
      </w:r>
      <w:r w:rsidR="00D81AD3" w:rsidRPr="00A41002">
        <w:rPr>
          <w:b/>
          <w:bCs/>
        </w:rPr>
        <w:t xml:space="preserve">prevista en el inciso </w:t>
      </w:r>
      <w:r w:rsidRPr="00A41002">
        <w:rPr>
          <w:b/>
          <w:bCs/>
        </w:rPr>
        <w:t>A</w:t>
      </w:r>
      <w:r w:rsidR="00D81AD3" w:rsidRPr="00A41002">
        <w:rPr>
          <w:b/>
          <w:bCs/>
        </w:rPr>
        <w:t>, del numeral 42.10</w:t>
      </w:r>
      <w:r w:rsidR="003270D8" w:rsidRPr="00A41002">
        <w:rPr>
          <w:b/>
          <w:bCs/>
        </w:rPr>
        <w:t xml:space="preserve"> </w:t>
      </w:r>
      <w:r w:rsidR="00D81AD3" w:rsidRPr="00A41002">
        <w:t xml:space="preserve">del acuerdo </w:t>
      </w:r>
      <w:r w:rsidR="00AE377A" w:rsidRPr="00A41002">
        <w:t xml:space="preserve">de </w:t>
      </w:r>
      <w:r w:rsidR="00484A55" w:rsidRPr="00A41002">
        <w:t>sala dictado por est</w:t>
      </w:r>
      <w:r w:rsidR="00A6699F" w:rsidRPr="00A41002">
        <w:t>e</w:t>
      </w:r>
      <w:r w:rsidR="00484A55" w:rsidRPr="00A41002">
        <w:t xml:space="preserve"> </w:t>
      </w:r>
      <w:r w:rsidR="00A6699F" w:rsidRPr="00A41002">
        <w:t>órgano jurisdiccional</w:t>
      </w:r>
      <w:r w:rsidR="00AE377A" w:rsidRPr="00A41002">
        <w:t>.</w:t>
      </w:r>
    </w:p>
    <w:p w14:paraId="5F7BEF25" w14:textId="77777777" w:rsidR="00A6699F" w:rsidRPr="00A41002" w:rsidRDefault="00AE377A" w:rsidP="00CE2611">
      <w:pPr>
        <w:pStyle w:val="numerados"/>
        <w:ind w:left="0" w:hanging="1"/>
      </w:pPr>
      <w:r w:rsidRPr="00A41002">
        <w:t>Lo anterior</w:t>
      </w:r>
      <w:r w:rsidR="006A3D8A" w:rsidRPr="00A41002">
        <w:t>,</w:t>
      </w:r>
      <w:r w:rsidR="00C52214" w:rsidRPr="00A41002">
        <w:t xml:space="preserve"> </w:t>
      </w:r>
      <w:r w:rsidR="00A6699F" w:rsidRPr="00A41002">
        <w:t>porque</w:t>
      </w:r>
      <w:r w:rsidR="00C52214" w:rsidRPr="00A41002">
        <w:t xml:space="preserve"> los seis votos nulos no se encontra</w:t>
      </w:r>
      <w:r w:rsidR="00A6699F" w:rsidRPr="00A41002">
        <w:t xml:space="preserve">ron </w:t>
      </w:r>
      <w:r w:rsidR="00C52214" w:rsidRPr="00A41002">
        <w:t>perfectamente identificables y separados de los votos válidos e inutilizados</w:t>
      </w:r>
      <w:r w:rsidR="00A6699F" w:rsidRPr="00A41002">
        <w:t>.</w:t>
      </w:r>
    </w:p>
    <w:p w14:paraId="30566278" w14:textId="62150759" w:rsidR="006A3D8A" w:rsidRPr="00A41002" w:rsidRDefault="00A6699F" w:rsidP="00CE2611">
      <w:pPr>
        <w:pStyle w:val="numerados"/>
        <w:ind w:left="0" w:hanging="1"/>
      </w:pPr>
      <w:r w:rsidRPr="00A41002">
        <w:t>Aunado a lo anterior,</w:t>
      </w:r>
      <w:r w:rsidR="007576B6" w:rsidRPr="00A41002">
        <w:t xml:space="preserve"> contrario a lo que afirma el incidentista</w:t>
      </w:r>
      <w:r w:rsidRPr="00A41002">
        <w:t>,</w:t>
      </w:r>
      <w:r w:rsidR="00F87BD0" w:rsidRPr="00A41002">
        <w:t xml:space="preserve"> el voto nulo </w:t>
      </w:r>
      <w:r w:rsidR="00630B62" w:rsidRPr="00A41002">
        <w:t>identificado</w:t>
      </w:r>
      <w:r w:rsidR="00F87BD0" w:rsidRPr="00A41002">
        <w:t xml:space="preserve"> en el paquete no se encontraba dentro de un sobre, sino que únicamente se advertía que</w:t>
      </w:r>
      <w:r w:rsidR="00660AA4" w:rsidRPr="00A41002">
        <w:t xml:space="preserve"> la propia boleta se encontraba doblada por la mitad y tenía la inscripción </w:t>
      </w:r>
      <w:r w:rsidR="00B82802" w:rsidRPr="00A41002">
        <w:t xml:space="preserve">a mano </w:t>
      </w:r>
      <w:r w:rsidR="00660AA4" w:rsidRPr="00A41002">
        <w:t>“votos nulos”</w:t>
      </w:r>
      <w:r w:rsidR="00F87DEE" w:rsidRPr="00A41002">
        <w:t>.</w:t>
      </w:r>
    </w:p>
    <w:p w14:paraId="559D3F56" w14:textId="6F47184B" w:rsidR="00697F07" w:rsidRPr="00A41002" w:rsidRDefault="00697F07" w:rsidP="00CE2611">
      <w:pPr>
        <w:pStyle w:val="numerados"/>
        <w:ind w:left="0" w:hanging="1"/>
      </w:pPr>
      <w:r w:rsidRPr="00A41002">
        <w:t xml:space="preserve">Al respecto, es importante reiterar que la finalidad de la diligencia precisamente era </w:t>
      </w:r>
      <w:r w:rsidR="00BF538C" w:rsidRPr="00A41002">
        <w:t xml:space="preserve">establecer si los seis votos originalmente calificados como nulos y posteriormente recalificados por el Consejo Electoral </w:t>
      </w:r>
      <w:r w:rsidR="00BF538C" w:rsidRPr="00A41002">
        <w:rPr>
          <w:b/>
          <w:bCs/>
        </w:rPr>
        <w:t>eran plenamente identificables</w:t>
      </w:r>
      <w:r w:rsidR="00A1519E" w:rsidRPr="00A41002">
        <w:rPr>
          <w:b/>
          <w:bCs/>
        </w:rPr>
        <w:t>,</w:t>
      </w:r>
      <w:r w:rsidR="00BF538C" w:rsidRPr="00A41002">
        <w:rPr>
          <w:b/>
          <w:bCs/>
        </w:rPr>
        <w:t xml:space="preserve"> </w:t>
      </w:r>
      <w:r w:rsidR="00FE71F8" w:rsidRPr="00A41002">
        <w:rPr>
          <w:b/>
          <w:bCs/>
        </w:rPr>
        <w:t xml:space="preserve">lo que necesariamente implicaba que se encontraran juntos y separados del resto de los votos contenidos en </w:t>
      </w:r>
      <w:r w:rsidR="0036139D" w:rsidRPr="00A41002">
        <w:rPr>
          <w:b/>
          <w:bCs/>
        </w:rPr>
        <w:t>el paquete</w:t>
      </w:r>
      <w:r w:rsidR="00FE71F8" w:rsidRPr="00A41002">
        <w:t>, porque</w:t>
      </w:r>
      <w:r w:rsidR="00E13B3A" w:rsidRPr="00A41002">
        <w:t xml:space="preserve"> en caso de que se le concediera la razón al actor del juicio que ahora se resuelve, precisamente </w:t>
      </w:r>
      <w:r w:rsidR="00E42FAF" w:rsidRPr="00A41002">
        <w:t xml:space="preserve">tendría como consecuencia </w:t>
      </w:r>
      <w:r w:rsidR="00E22A9F" w:rsidRPr="00A41002">
        <w:t xml:space="preserve">establecer las condiciones necesarias para </w:t>
      </w:r>
      <w:r w:rsidR="00E42FAF" w:rsidRPr="00A41002">
        <w:t xml:space="preserve"> </w:t>
      </w:r>
      <w:r w:rsidR="00E22A9F" w:rsidRPr="00A41002">
        <w:t xml:space="preserve">que se </w:t>
      </w:r>
      <w:r w:rsidR="00E42FAF" w:rsidRPr="00A41002">
        <w:t>recalificaran dichos votos en sede jurisdiccional</w:t>
      </w:r>
      <w:r w:rsidR="00A1519E" w:rsidRPr="00A41002">
        <w:t xml:space="preserve"> salvaguard</w:t>
      </w:r>
      <w:r w:rsidR="00E22A9F" w:rsidRPr="00A41002">
        <w:t>ando</w:t>
      </w:r>
      <w:r w:rsidR="00A1519E" w:rsidRPr="00A41002">
        <w:t xml:space="preserve"> los principios rectores </w:t>
      </w:r>
      <w:r w:rsidR="00E86FE1" w:rsidRPr="00A41002">
        <w:t>en materia electoral</w:t>
      </w:r>
      <w:r w:rsidR="00A16C0B" w:rsidRPr="00A41002">
        <w:t>.</w:t>
      </w:r>
    </w:p>
    <w:p w14:paraId="026EDB4E" w14:textId="5BC7C1B0" w:rsidR="00923DA2" w:rsidRPr="00A41002" w:rsidRDefault="00923DA2" w:rsidP="00CE2611">
      <w:pPr>
        <w:pStyle w:val="numerados"/>
        <w:ind w:left="0" w:hanging="1"/>
      </w:pPr>
      <w:r w:rsidRPr="00A41002">
        <w:t>No obstante, el hecho de que uno de esos votos se encontrara separado</w:t>
      </w:r>
      <w:r w:rsidR="00A6699F" w:rsidRPr="00A41002">
        <w:t>,</w:t>
      </w:r>
      <w:r w:rsidRPr="00A41002">
        <w:t xml:space="preserve"> </w:t>
      </w:r>
      <w:r w:rsidR="0074696F" w:rsidRPr="00A41002">
        <w:t>tra</w:t>
      </w:r>
      <w:r w:rsidR="00E86FE1" w:rsidRPr="00A41002">
        <w:t>e</w:t>
      </w:r>
      <w:r w:rsidR="0074696F" w:rsidRPr="00A41002">
        <w:t xml:space="preserve"> como consecuencia </w:t>
      </w:r>
      <w:r w:rsidR="00410277" w:rsidRPr="00A41002">
        <w:t xml:space="preserve">la falta de certeza sobre </w:t>
      </w:r>
      <w:r w:rsidR="00E86FE1" w:rsidRPr="00A41002">
        <w:t>la</w:t>
      </w:r>
      <w:r w:rsidR="00410277" w:rsidRPr="00A41002">
        <w:t xml:space="preserve"> plena identificación</w:t>
      </w:r>
      <w:r w:rsidR="00E86FE1" w:rsidRPr="00A41002">
        <w:t xml:space="preserve"> de los seis votos originalmente </w:t>
      </w:r>
      <w:r w:rsidR="00E86FE1" w:rsidRPr="00A41002">
        <w:lastRenderedPageBreak/>
        <w:t>calificados como nulos</w:t>
      </w:r>
      <w:r w:rsidR="0027217E" w:rsidRPr="00A41002">
        <w:t>, que son el centro de la controversia que ahora se resuelve</w:t>
      </w:r>
      <w:r w:rsidR="0024102B" w:rsidRPr="00A41002">
        <w:t>.</w:t>
      </w:r>
    </w:p>
    <w:p w14:paraId="7D0C6C22" w14:textId="0161499A" w:rsidR="006A3D8A" w:rsidRPr="00A41002" w:rsidRDefault="0024102B" w:rsidP="00F87DEE">
      <w:pPr>
        <w:pStyle w:val="numerados"/>
        <w:ind w:left="0" w:hanging="1"/>
      </w:pPr>
      <w:r w:rsidRPr="00A41002">
        <w:t>Asimismo</w:t>
      </w:r>
      <w:r w:rsidR="006A3D8A" w:rsidRPr="00A41002">
        <w:t xml:space="preserve">, partiendo del hecho de que el paquete no mostraba alteraciones </w:t>
      </w:r>
      <w:r w:rsidR="0027217E" w:rsidRPr="00A41002">
        <w:t xml:space="preserve">aparentes </w:t>
      </w:r>
      <w:r w:rsidR="006A3D8A" w:rsidRPr="00A41002">
        <w:t xml:space="preserve">y al abrirse se identificó un solo voto nulo y separado del resto, </w:t>
      </w:r>
      <w:r w:rsidR="00A6699F" w:rsidRPr="00A41002">
        <w:t>ello</w:t>
      </w:r>
      <w:r w:rsidR="00F72B76" w:rsidRPr="00A41002">
        <w:t xml:space="preserve"> resulta suficiente para</w:t>
      </w:r>
      <w:r w:rsidR="006A3D8A" w:rsidRPr="00A41002">
        <w:t xml:space="preserve"> evidenciar que no estaban juntos ni siquiera los tres votos </w:t>
      </w:r>
      <w:r w:rsidR="00F72B76" w:rsidRPr="00A41002">
        <w:t xml:space="preserve">en los </w:t>
      </w:r>
      <w:r w:rsidR="006A3D8A" w:rsidRPr="00A41002">
        <w:t xml:space="preserve">que </w:t>
      </w:r>
      <w:r w:rsidR="00F72B76" w:rsidRPr="00A41002">
        <w:t>persistió la nulidad</w:t>
      </w:r>
      <w:r w:rsidR="00EA4BBA" w:rsidRPr="00A41002">
        <w:t xml:space="preserve"> </w:t>
      </w:r>
      <w:r w:rsidR="006A3D8A" w:rsidRPr="00A41002">
        <w:t xml:space="preserve">después del </w:t>
      </w:r>
      <w:r w:rsidR="00EA4BBA" w:rsidRPr="00A41002">
        <w:t>nuevo escrutinio y cómputo realizado por el Consejo Electoral</w:t>
      </w:r>
      <w:r w:rsidR="006A3D8A" w:rsidRPr="00A41002">
        <w:t>.</w:t>
      </w:r>
    </w:p>
    <w:p w14:paraId="609D4CAF" w14:textId="331B7E2B" w:rsidR="006A3D8A" w:rsidRPr="00A41002" w:rsidRDefault="006A3D8A" w:rsidP="000E638F">
      <w:pPr>
        <w:pStyle w:val="numerados"/>
        <w:ind w:left="0" w:hanging="1"/>
      </w:pPr>
      <w:r w:rsidRPr="00A41002">
        <w:t>En consecuencia, al haberse encontrado solo el voto referido</w:t>
      </w:r>
      <w:r w:rsidR="00A6699F" w:rsidRPr="00A41002">
        <w:t>,</w:t>
      </w:r>
      <w:r w:rsidRPr="00A41002">
        <w:t xml:space="preserve"> ya no hay certeza respecto </w:t>
      </w:r>
      <w:r w:rsidR="00A6699F" w:rsidRPr="00A41002">
        <w:t>a</w:t>
      </w:r>
      <w:r w:rsidR="00E22A9F" w:rsidRPr="00A41002">
        <w:t>l manejo y destino</w:t>
      </w:r>
      <w:r w:rsidR="009419CC" w:rsidRPr="00A41002">
        <w:t xml:space="preserve"> dentro del paquete</w:t>
      </w:r>
      <w:r w:rsidR="00E22A9F" w:rsidRPr="00A41002">
        <w:t xml:space="preserve"> de los votos recalificados</w:t>
      </w:r>
      <w:r w:rsidRPr="00A41002">
        <w:t>.</w:t>
      </w:r>
    </w:p>
    <w:p w14:paraId="79DF1796" w14:textId="0CA1D3DB" w:rsidR="006A3D8A" w:rsidRPr="00A41002" w:rsidRDefault="006A3D8A" w:rsidP="006E3A75">
      <w:pPr>
        <w:pStyle w:val="numerados"/>
        <w:ind w:left="0" w:hanging="1"/>
      </w:pPr>
      <w:r w:rsidRPr="00A41002">
        <w:t xml:space="preserve">En esa tesitura, se puede </w:t>
      </w:r>
      <w:r w:rsidR="003E365E" w:rsidRPr="00A41002">
        <w:t>concluir</w:t>
      </w:r>
      <w:r w:rsidRPr="00A41002">
        <w:t xml:space="preserve"> que</w:t>
      </w:r>
      <w:r w:rsidR="003E365E" w:rsidRPr="00A41002">
        <w:t>, contrario a lo manifestado por el incidentista,</w:t>
      </w:r>
      <w:r w:rsidRPr="00A41002">
        <w:t xml:space="preserve"> sí se</w:t>
      </w:r>
      <w:r w:rsidRPr="00A41002">
        <w:rPr>
          <w:b/>
          <w:bCs/>
        </w:rPr>
        <w:t xml:space="preserve"> actualizó</w:t>
      </w:r>
      <w:r w:rsidRPr="00A41002">
        <w:t xml:space="preserve"> la </w:t>
      </w:r>
      <w:r w:rsidRPr="00A41002">
        <w:rPr>
          <w:b/>
          <w:bCs/>
        </w:rPr>
        <w:t>hipótesis A</w:t>
      </w:r>
      <w:r w:rsidRPr="00A41002">
        <w:t xml:space="preserve"> señalada en el acuerdo de sala de once de abril, </w:t>
      </w:r>
      <w:r w:rsidR="003E365E" w:rsidRPr="00A41002">
        <w:t xml:space="preserve">y fue correcto que el funcionariado actuante en la diligencia </w:t>
      </w:r>
      <w:r w:rsidRPr="00A41002">
        <w:t>procediera a cerrar el paquete y dar por terminada la diligencia, tal como se le instruyó en dicho apartado</w:t>
      </w:r>
      <w:r w:rsidR="00E22A9F" w:rsidRPr="00A41002">
        <w:t>, de tal forma que no tenía algún margen de actuación más allá de lo establecido en esa hipótesis</w:t>
      </w:r>
      <w:r w:rsidRPr="00A41002">
        <w:t>.</w:t>
      </w:r>
    </w:p>
    <w:p w14:paraId="79B41BD5" w14:textId="0DA0C3E5" w:rsidR="003D6BDA" w:rsidRPr="00A41002" w:rsidRDefault="00E22A9F" w:rsidP="000E638F">
      <w:pPr>
        <w:pStyle w:val="numerados"/>
        <w:ind w:left="0" w:hanging="1"/>
      </w:pPr>
      <w:r w:rsidRPr="00A41002">
        <w:t>En este sentido</w:t>
      </w:r>
      <w:r w:rsidR="003D6BDA" w:rsidRPr="00A41002">
        <w:t xml:space="preserve">, </w:t>
      </w:r>
      <w:r w:rsidR="004A25F0" w:rsidRPr="00A41002">
        <w:t>tampoco le asiste la razón al incidentista al referir que</w:t>
      </w:r>
      <w:r w:rsidRPr="00A41002">
        <w:t>,</w:t>
      </w:r>
      <w:r w:rsidR="004A25F0" w:rsidRPr="00A41002">
        <w:t xml:space="preserve"> en todo caso</w:t>
      </w:r>
      <w:r w:rsidRPr="00A41002">
        <w:t>,</w:t>
      </w:r>
      <w:r w:rsidR="004A25F0" w:rsidRPr="00A41002">
        <w:t xml:space="preserve"> el magistrado del TEEY se </w:t>
      </w:r>
      <w:r w:rsidR="0042750E" w:rsidRPr="00A41002">
        <w:t>encontraba</w:t>
      </w:r>
      <w:r w:rsidR="004A25F0" w:rsidRPr="00A41002">
        <w:t xml:space="preserve"> </w:t>
      </w:r>
      <w:r w:rsidR="0042750E" w:rsidRPr="00A41002">
        <w:t>facultado</w:t>
      </w:r>
      <w:r w:rsidR="004A25F0" w:rsidRPr="00A41002">
        <w:t xml:space="preserve"> para realizar un recuento total de la votación porque</w:t>
      </w:r>
      <w:r w:rsidR="00871985" w:rsidRPr="00A41002">
        <w:t>,</w:t>
      </w:r>
      <w:r w:rsidR="004A25F0" w:rsidRPr="00A41002">
        <w:t xml:space="preserve"> como se adelantó</w:t>
      </w:r>
      <w:r w:rsidR="00871985" w:rsidRPr="00A41002">
        <w:t>,</w:t>
      </w:r>
      <w:r w:rsidR="004A25F0" w:rsidRPr="00A41002">
        <w:t xml:space="preserve"> </w:t>
      </w:r>
      <w:r w:rsidR="004A25F0" w:rsidRPr="00A41002">
        <w:rPr>
          <w:b/>
          <w:bCs/>
        </w:rPr>
        <w:t>esa no era la finalidad de la diligencia ordenada</w:t>
      </w:r>
      <w:r w:rsidR="004A25F0" w:rsidRPr="00A41002">
        <w:t xml:space="preserve"> </w:t>
      </w:r>
      <w:r w:rsidR="0042750E" w:rsidRPr="00A41002">
        <w:t xml:space="preserve">y si bien el inciso C del apartado de efectos del acuerdo y el numeral 42.11 </w:t>
      </w:r>
      <w:r w:rsidR="00046230" w:rsidRPr="00A41002">
        <w:t>preveían la posibilidad de que la magistratura que dirigió la diligencia reseñara</w:t>
      </w:r>
      <w:r w:rsidR="00E02D61" w:rsidRPr="00A41002">
        <w:t xml:space="preserve"> una diversa hipótesis o resolviera cuestiones no previstas, ello, no implicaba </w:t>
      </w:r>
      <w:r w:rsidR="00E02D61" w:rsidRPr="00A41002">
        <w:lastRenderedPageBreak/>
        <w:t xml:space="preserve">que </w:t>
      </w:r>
      <w:r w:rsidR="00AF7AAA" w:rsidRPr="00A41002">
        <w:t>estuviera facultado para recontar el paquete electoral, sino</w:t>
      </w:r>
      <w:r w:rsidR="004D4DE9" w:rsidRPr="00A41002">
        <w:t>,</w:t>
      </w:r>
      <w:r w:rsidR="00AF7AAA" w:rsidRPr="00A41002">
        <w:t xml:space="preserve"> precisamente, a actuar en los términos que lo hizo, es decir, al encontrar un solo voto </w:t>
      </w:r>
      <w:r w:rsidR="00B803D5" w:rsidRPr="00A41002">
        <w:t xml:space="preserve">nulo </w:t>
      </w:r>
      <w:r w:rsidR="00AF7AAA" w:rsidRPr="00A41002">
        <w:t xml:space="preserve">separado </w:t>
      </w:r>
      <w:r w:rsidR="00B803D5" w:rsidRPr="00A41002">
        <w:t>y no</w:t>
      </w:r>
      <w:r w:rsidR="004D4DE9" w:rsidRPr="00A41002">
        <w:t xml:space="preserve"> seis o</w:t>
      </w:r>
      <w:r w:rsidR="00B803D5" w:rsidRPr="00A41002">
        <w:t xml:space="preserve"> tres como se previó en el acuerdo</w:t>
      </w:r>
      <w:r w:rsidR="00B234E1" w:rsidRPr="00A41002">
        <w:t>,</w:t>
      </w:r>
      <w:r w:rsidR="004D4DE9" w:rsidRPr="00A41002">
        <w:t xml:space="preserve"> determinar </w:t>
      </w:r>
      <w:r w:rsidR="00B234E1" w:rsidRPr="00A41002">
        <w:t>la conclusión de la diligencia.</w:t>
      </w:r>
    </w:p>
    <w:p w14:paraId="7E98C0DC" w14:textId="77777777" w:rsidR="006A3D8A" w:rsidRPr="00A41002" w:rsidRDefault="006A3D8A" w:rsidP="003E365E">
      <w:pPr>
        <w:pStyle w:val="numerados"/>
        <w:ind w:left="0" w:hanging="1"/>
      </w:pPr>
      <w:r w:rsidRPr="00A41002">
        <w:t>Además, tal como lo refirió la autoridad responsable en el desahogo de la vista que le fuera otorgada respecto al presente incidente, no se observa del video o del acta circunstanciada de la diligencia de apertura, que el actor o su representante hayan manifestado o proporcionado algún elemento que pudiera evidenciar que hubo un error o negligencia por parte del funcionariado del TEEY o del ayuntamiento de Mérida durante el desahogo de la diligencia.</w:t>
      </w:r>
    </w:p>
    <w:p w14:paraId="452BC35D" w14:textId="37494164" w:rsidR="006A3D8A" w:rsidRPr="00A41002" w:rsidRDefault="006A3D8A" w:rsidP="00D44382">
      <w:pPr>
        <w:pStyle w:val="numerados"/>
        <w:ind w:left="0" w:hanging="1"/>
      </w:pPr>
      <w:r w:rsidRPr="00A41002">
        <w:t>Sin que esta afirmación atente en forma alguna contra el derecho a una tutela judicial efectiva, tal como lo refiere el actor, pues únicamente se está aseverando que, durante la realización de la propia diligencia, no se observa que el actor o su representante hubieren hecho manifestaciones o aportado elementos que, concatenados con lo alegado en su escrito incidental, permitieran a esta Sala Regional afirmar vicios o una actuación negligente de la autoridad responsable, durante la diligencia de apertura.</w:t>
      </w:r>
    </w:p>
    <w:p w14:paraId="773E3C87" w14:textId="59F7AEF4" w:rsidR="006A3D8A" w:rsidRPr="00A41002" w:rsidRDefault="006A3D8A" w:rsidP="00237C4A">
      <w:pPr>
        <w:pStyle w:val="numerados"/>
        <w:ind w:left="0" w:hanging="1"/>
      </w:pPr>
      <w:r w:rsidRPr="00A41002">
        <w:t xml:space="preserve">En ese sentido, se tiene que lo realizado por </w:t>
      </w:r>
      <w:r w:rsidR="00237C4A" w:rsidRPr="00A41002">
        <w:t>el funcionariado actuante en la diligencia</w:t>
      </w:r>
      <w:r w:rsidRPr="00A41002">
        <w:t xml:space="preserve"> fue acorde a lo ordenado por este órgano jurisdiccional, lo cual expresamente consistía en aperturar el paquete </w:t>
      </w:r>
      <w:r w:rsidR="008D7416" w:rsidRPr="00A41002">
        <w:t xml:space="preserve">y establecer si eran plenamente identificables </w:t>
      </w:r>
      <w:r w:rsidRPr="00A41002">
        <w:t xml:space="preserve">o no los seis votos nulos en cuestión y, de darse </w:t>
      </w:r>
      <w:r w:rsidRPr="00A41002">
        <w:lastRenderedPageBreak/>
        <w:t>el caso de no estar plenamente identificables, proceder a cerrar nuevamente el paquete y dar por terminada la diligencia, lo que en el caso sí aconteció.</w:t>
      </w:r>
    </w:p>
    <w:p w14:paraId="29A50260" w14:textId="7C5D35CC" w:rsidR="006A3D8A" w:rsidRPr="00A41002" w:rsidRDefault="006A3D8A" w:rsidP="008D7416">
      <w:pPr>
        <w:pStyle w:val="numerados"/>
        <w:ind w:left="0" w:hanging="1"/>
      </w:pPr>
      <w:r w:rsidRPr="00A41002">
        <w:t>Aunado a que en ningún momento se observa que la actuación del funcionariado del Tribunal haya resultado ociosa o no haya brindado certidumbre a la diligencia ordenada</w:t>
      </w:r>
      <w:r w:rsidR="00576A98" w:rsidRPr="00A41002">
        <w:t xml:space="preserve">, ya que el resultado de </w:t>
      </w:r>
      <w:proofErr w:type="gramStart"/>
      <w:r w:rsidR="00576A98" w:rsidRPr="00A41002">
        <w:t>la misma</w:t>
      </w:r>
      <w:proofErr w:type="gramEnd"/>
      <w:r w:rsidR="00576A98" w:rsidRPr="00A41002">
        <w:t xml:space="preserve"> será tomado en consideración en el estudio de fondo de la controversia</w:t>
      </w:r>
      <w:r w:rsidRPr="00A41002">
        <w:t>.</w:t>
      </w:r>
    </w:p>
    <w:p w14:paraId="3A58F61E" w14:textId="5D3D7A64" w:rsidR="006A3D8A" w:rsidRPr="00A41002" w:rsidRDefault="006A3D8A" w:rsidP="008D7416">
      <w:pPr>
        <w:pStyle w:val="numerados"/>
        <w:ind w:left="0" w:hanging="1"/>
      </w:pPr>
      <w:r w:rsidRPr="00A41002">
        <w:t>Así las cosas, al haberse identificado un solo voto nulo y apartado del resto</w:t>
      </w:r>
      <w:r w:rsidR="008D7416" w:rsidRPr="00A41002">
        <w:t>,</w:t>
      </w:r>
      <w:r w:rsidRPr="00A41002">
        <w:t xml:space="preserve"> resultó correcto que la autoridad considerara tal hecho como suficiente para dar por terminada la diligencia</w:t>
      </w:r>
      <w:r w:rsidR="008D7416" w:rsidRPr="00A41002">
        <w:t>,</w:t>
      </w:r>
      <w:r w:rsidRPr="00A41002">
        <w:t xml:space="preserve"> pues ya no habría certeza y seguridad respecto a cuáles son los demás votos nulos.</w:t>
      </w:r>
    </w:p>
    <w:p w14:paraId="01E69D31" w14:textId="4EB674B8" w:rsidR="006A3D8A" w:rsidRPr="00A41002" w:rsidRDefault="006A3D8A" w:rsidP="008D7416">
      <w:pPr>
        <w:pStyle w:val="numerados"/>
        <w:ind w:left="0" w:hanging="1"/>
      </w:pPr>
      <w:r w:rsidRPr="00A41002">
        <w:t xml:space="preserve">Ahora bien, a criterio de este órgano jurisdiccional, si la inconformidad en el presente incidente deriva de </w:t>
      </w:r>
      <w:r w:rsidR="008D7416" w:rsidRPr="00A41002">
        <w:t>cómo</w:t>
      </w:r>
      <w:r w:rsidRPr="00A41002">
        <w:t xml:space="preserve"> fueron fijadas las directrices para llevar a cabo la diligencia de apertura, a criterio de esta Sala Regional, el </w:t>
      </w:r>
      <w:r w:rsidR="00333AED" w:rsidRPr="00A41002">
        <w:t>incidentista</w:t>
      </w:r>
      <w:r w:rsidRPr="00A41002">
        <w:t xml:space="preserve"> estuvo en posibilidades de controvertir el acuerdo</w:t>
      </w:r>
      <w:r w:rsidR="008D7416" w:rsidRPr="00A41002">
        <w:t xml:space="preserve"> de sala</w:t>
      </w:r>
      <w:r w:rsidRPr="00A41002">
        <w:t xml:space="preserve"> de once de abril emitido por este órgano en el momento procesal oportuno, lo cual no aconteció.</w:t>
      </w:r>
    </w:p>
    <w:p w14:paraId="47BCE2BB" w14:textId="4AAF69F0" w:rsidR="003570ED" w:rsidRPr="00A41002" w:rsidRDefault="006A3D8A" w:rsidP="00594C42">
      <w:pPr>
        <w:pStyle w:val="numerados"/>
        <w:ind w:left="0" w:hanging="1"/>
        <w:rPr>
          <w:b/>
          <w:bCs/>
          <w:iCs/>
        </w:rPr>
      </w:pPr>
      <w:r w:rsidRPr="00A41002">
        <w:t>En consecuencia, se</w:t>
      </w:r>
      <w:r w:rsidR="0017118F" w:rsidRPr="00A41002">
        <w:t xml:space="preserve"> declara</w:t>
      </w:r>
      <w:r w:rsidRPr="00A41002">
        <w:t xml:space="preserve"> </w:t>
      </w:r>
      <w:r w:rsidR="008D7416" w:rsidRPr="00A41002">
        <w:rPr>
          <w:b/>
          <w:bCs/>
        </w:rPr>
        <w:t>infundad</w:t>
      </w:r>
      <w:r w:rsidR="0017118F" w:rsidRPr="00A41002">
        <w:rPr>
          <w:b/>
          <w:bCs/>
        </w:rPr>
        <w:t>o</w:t>
      </w:r>
      <w:r w:rsidR="0017118F" w:rsidRPr="00A41002">
        <w:t xml:space="preserve"> el </w:t>
      </w:r>
      <w:r w:rsidRPr="00A41002">
        <w:t>incidente de ejecución defectuosa.</w:t>
      </w:r>
    </w:p>
    <w:p w14:paraId="00511671" w14:textId="3EDFD6E6" w:rsidR="00D52977" w:rsidRPr="00A41002" w:rsidRDefault="00D52977" w:rsidP="00594C42">
      <w:pPr>
        <w:pStyle w:val="numerados"/>
        <w:ind w:left="0" w:hanging="1"/>
        <w:rPr>
          <w:b/>
          <w:bCs/>
          <w:iCs/>
        </w:rPr>
      </w:pPr>
      <w:r w:rsidRPr="00A41002">
        <w:t>Resuelto lo anterior, se procederá a analiza la cuestión de fondo planteada por el actor en el presente juicio.</w:t>
      </w:r>
    </w:p>
    <w:p w14:paraId="4EC4B1C0" w14:textId="3C001139" w:rsidR="008E47AE" w:rsidRPr="00A41002" w:rsidRDefault="004F3481" w:rsidP="008E47AE">
      <w:pPr>
        <w:spacing w:before="120"/>
        <w:outlineLvl w:val="1"/>
        <w:rPr>
          <w:b/>
          <w:bCs/>
          <w:iCs/>
          <w:szCs w:val="28"/>
        </w:rPr>
      </w:pPr>
      <w:bookmarkStart w:id="44" w:name="_Toc198028404"/>
      <w:r w:rsidRPr="00A41002">
        <w:rPr>
          <w:b/>
          <w:bCs/>
          <w:iCs/>
          <w:szCs w:val="28"/>
        </w:rPr>
        <w:t xml:space="preserve">TERCERO. </w:t>
      </w:r>
      <w:r w:rsidR="008E47AE" w:rsidRPr="00A41002">
        <w:rPr>
          <w:b/>
          <w:bCs/>
          <w:iCs/>
          <w:szCs w:val="28"/>
        </w:rPr>
        <w:t>Tercera interesada.</w:t>
      </w:r>
      <w:bookmarkEnd w:id="41"/>
      <w:bookmarkEnd w:id="42"/>
      <w:bookmarkEnd w:id="44"/>
    </w:p>
    <w:p w14:paraId="6AE3E826" w14:textId="5B019726" w:rsidR="008E47AE" w:rsidRPr="00A41002" w:rsidRDefault="008E47AE" w:rsidP="008E47AE">
      <w:pPr>
        <w:pStyle w:val="numerados"/>
        <w:ind w:left="0" w:hanging="1"/>
      </w:pPr>
      <w:r w:rsidRPr="00A41002">
        <w:lastRenderedPageBreak/>
        <w:t xml:space="preserve">En el presente juicio se reconoce </w:t>
      </w:r>
      <w:r w:rsidR="003E0325" w:rsidRPr="00A41002">
        <w:t xml:space="preserve">con </w:t>
      </w:r>
      <w:r w:rsidR="003E0325" w:rsidRPr="00A41002">
        <w:rPr>
          <w:bCs/>
        </w:rPr>
        <w:t xml:space="preserve">el carácter de tercera interesada en el presente juicio </w:t>
      </w:r>
      <w:r w:rsidRPr="00A41002">
        <w:t xml:space="preserve">a </w:t>
      </w:r>
      <w:r w:rsidR="00D26EED" w:rsidRPr="00A41002">
        <w:rPr>
          <w:b/>
          <w:bCs/>
          <w:color w:val="000000" w:themeColor="text1"/>
        </w:rPr>
        <w:t xml:space="preserve">Gabina del Rosario Mex </w:t>
      </w:r>
      <w:r w:rsidR="006A5D2C" w:rsidRPr="00A41002">
        <w:rPr>
          <w:b/>
          <w:bCs/>
          <w:color w:val="000000" w:themeColor="text1"/>
        </w:rPr>
        <w:t>V</w:t>
      </w:r>
      <w:r w:rsidR="00D26EED" w:rsidRPr="00A41002">
        <w:rPr>
          <w:b/>
          <w:bCs/>
          <w:color w:val="000000" w:themeColor="text1"/>
        </w:rPr>
        <w:t>ivas</w:t>
      </w:r>
      <w:r w:rsidRPr="00A41002">
        <w:rPr>
          <w:color w:val="000000" w:themeColor="text1"/>
        </w:rPr>
        <w:t xml:space="preserve">, </w:t>
      </w:r>
      <w:r w:rsidRPr="00A41002">
        <w:rPr>
          <w:bCs/>
        </w:rPr>
        <w:t>debido a que su escrito de comparecencia cumple con los requisitos legales, previstos en lo dispuesto por los artículos 12, apartado 1, inciso c), 13, inciso b), y 17, apartado 4 de la Ley General de Medios.</w:t>
      </w:r>
    </w:p>
    <w:p w14:paraId="444DDE35" w14:textId="7278A535" w:rsidR="008E47AE" w:rsidRPr="00A41002" w:rsidRDefault="008E47AE" w:rsidP="008E47AE">
      <w:pPr>
        <w:pStyle w:val="numerados"/>
        <w:ind w:left="0" w:hanging="1"/>
        <w:rPr>
          <w:rFonts w:cs="Arial"/>
        </w:rPr>
      </w:pPr>
      <w:r w:rsidRPr="00A41002">
        <w:rPr>
          <w:b/>
          <w:bCs/>
        </w:rPr>
        <w:t>Forma</w:t>
      </w:r>
      <w:r w:rsidRPr="00A41002">
        <w:t xml:space="preserve">. El requisito se tiene por satisfecho, ya que el escrito de comparecencia se presentó ante la autoridad responsable, en </w:t>
      </w:r>
      <w:r w:rsidR="0014167B" w:rsidRPr="00A41002">
        <w:t>é</w:t>
      </w:r>
      <w:r w:rsidRPr="00A41002">
        <w:t>l consta el nombre y firma autógrafa de quien pretende que se le reconozca tal calidad, y expresa las razones en que funda su interés incompatible con las actoras del juicio referido.</w:t>
      </w:r>
    </w:p>
    <w:p w14:paraId="7A528060" w14:textId="59A517AA" w:rsidR="008E47AE" w:rsidRPr="00A41002" w:rsidRDefault="008E47AE" w:rsidP="008E47AE">
      <w:pPr>
        <w:pStyle w:val="numerados"/>
        <w:ind w:left="0" w:hanging="1"/>
        <w:rPr>
          <w:rFonts w:cs="Arial"/>
        </w:rPr>
      </w:pPr>
      <w:r w:rsidRPr="00A41002">
        <w:rPr>
          <w:b/>
          <w:bCs/>
        </w:rPr>
        <w:t xml:space="preserve">Oportunidad. </w:t>
      </w:r>
      <w:r w:rsidRPr="00A41002">
        <w:t xml:space="preserve">De las constancias de autos se advierte que la </w:t>
      </w:r>
      <w:r w:rsidR="003E0325" w:rsidRPr="00A41002">
        <w:t xml:space="preserve">publicitación de la </w:t>
      </w:r>
      <w:r w:rsidRPr="00A41002">
        <w:t xml:space="preserve">demanda </w:t>
      </w:r>
      <w:r w:rsidR="003E0325" w:rsidRPr="00A41002">
        <w:t>s</w:t>
      </w:r>
      <w:r w:rsidRPr="00A41002">
        <w:t xml:space="preserve">e realizó </w:t>
      </w:r>
      <w:r w:rsidR="003E0325" w:rsidRPr="00A41002">
        <w:t>d</w:t>
      </w:r>
      <w:r w:rsidRPr="00A41002">
        <w:t xml:space="preserve">el </w:t>
      </w:r>
      <w:r w:rsidR="00D26EED" w:rsidRPr="00A41002">
        <w:t>veinticuatro</w:t>
      </w:r>
      <w:r w:rsidRPr="00A41002">
        <w:t xml:space="preserve"> </w:t>
      </w:r>
      <w:r w:rsidR="003E0325" w:rsidRPr="00A41002">
        <w:t xml:space="preserve">de marzo </w:t>
      </w:r>
      <w:r w:rsidRPr="00A41002">
        <w:t xml:space="preserve">a las </w:t>
      </w:r>
      <w:r w:rsidR="00D26EED" w:rsidRPr="00A41002">
        <w:t>veinte</w:t>
      </w:r>
      <w:r w:rsidRPr="00A41002">
        <w:t xml:space="preserve"> horas con </w:t>
      </w:r>
      <w:r w:rsidR="00D26EED" w:rsidRPr="00A41002">
        <w:t>cincuenta</w:t>
      </w:r>
      <w:r w:rsidRPr="00A41002">
        <w:t xml:space="preserve"> minuto</w:t>
      </w:r>
      <w:r w:rsidR="00D26EED" w:rsidRPr="00A41002">
        <w:t>s</w:t>
      </w:r>
      <w:r w:rsidRPr="00A41002">
        <w:t xml:space="preserve"> (</w:t>
      </w:r>
      <w:r w:rsidR="00D26EED" w:rsidRPr="00A41002">
        <w:t>20</w:t>
      </w:r>
      <w:r w:rsidRPr="00A41002">
        <w:t>:</w:t>
      </w:r>
      <w:r w:rsidR="00D26EED" w:rsidRPr="00A41002">
        <w:t>50</w:t>
      </w:r>
      <w:r w:rsidRPr="00A41002">
        <w:t>)</w:t>
      </w:r>
      <w:r w:rsidR="003E0325" w:rsidRPr="00A41002">
        <w:t xml:space="preserve"> a la misma hora del veintisiete siguiente</w:t>
      </w:r>
      <w:r w:rsidRPr="00A41002">
        <w:rPr>
          <w:rStyle w:val="Refdenotaalpie"/>
          <w:rFonts w:eastAsiaTheme="majorEastAsia"/>
          <w:color w:val="000000" w:themeColor="text1"/>
        </w:rPr>
        <w:footnoteReference w:id="14"/>
      </w:r>
      <w:r w:rsidRPr="00A41002">
        <w:t xml:space="preserve">, y la presentación del escrito de comparecencia se realizó el </w:t>
      </w:r>
      <w:r w:rsidR="00D26EED" w:rsidRPr="00A41002">
        <w:t>veintisiete</w:t>
      </w:r>
      <w:r w:rsidRPr="00A41002">
        <w:t xml:space="preserve"> de marzo a las </w:t>
      </w:r>
      <w:r w:rsidR="00D26EED" w:rsidRPr="00A41002">
        <w:t>veinte</w:t>
      </w:r>
      <w:r w:rsidRPr="00A41002">
        <w:t xml:space="preserve"> horas con </w:t>
      </w:r>
      <w:r w:rsidR="00D26EED" w:rsidRPr="00A41002">
        <w:t>treinta</w:t>
      </w:r>
      <w:r w:rsidRPr="00A41002">
        <w:t xml:space="preserve"> minutos (</w:t>
      </w:r>
      <w:r w:rsidR="00D26EED" w:rsidRPr="00A41002">
        <w:t>20</w:t>
      </w:r>
      <w:r w:rsidRPr="00A41002">
        <w:t>:</w:t>
      </w:r>
      <w:r w:rsidR="00D26EED" w:rsidRPr="00A41002">
        <w:t>30</w:t>
      </w:r>
      <w:r w:rsidRPr="00A41002">
        <w:t>)</w:t>
      </w:r>
      <w:r w:rsidRPr="00A41002">
        <w:rPr>
          <w:rStyle w:val="Refdenotaalpie"/>
          <w:rFonts w:eastAsiaTheme="majorEastAsia"/>
          <w:color w:val="000000" w:themeColor="text1"/>
        </w:rPr>
        <w:footnoteReference w:id="15"/>
      </w:r>
      <w:r w:rsidRPr="00A41002">
        <w:t xml:space="preserve">, por tanto, </w:t>
      </w:r>
      <w:r w:rsidR="003E0325" w:rsidRPr="00A41002">
        <w:t>resulta evidente su oportunidad al presentarse</w:t>
      </w:r>
      <w:r w:rsidRPr="00A41002">
        <w:t xml:space="preserve"> dentro del plazo de 72 horas</w:t>
      </w:r>
      <w:r w:rsidRPr="00A41002">
        <w:rPr>
          <w:rStyle w:val="Refdenotaalpie"/>
          <w:rFonts w:eastAsiaTheme="majorEastAsia"/>
          <w:color w:val="000000" w:themeColor="text1"/>
        </w:rPr>
        <w:footnoteReference w:id="16"/>
      </w:r>
      <w:r w:rsidRPr="00A41002">
        <w:t xml:space="preserve"> </w:t>
      </w:r>
      <w:r w:rsidR="003E0325" w:rsidRPr="00A41002">
        <w:t>previsto en</w:t>
      </w:r>
      <w:r w:rsidR="00573557" w:rsidRPr="00A41002">
        <w:t xml:space="preserve"> la</w:t>
      </w:r>
      <w:r w:rsidR="003E0325" w:rsidRPr="00A41002">
        <w:t xml:space="preserve"> Ley</w:t>
      </w:r>
      <w:r w:rsidRPr="00A41002">
        <w:t xml:space="preserve">. </w:t>
      </w:r>
    </w:p>
    <w:p w14:paraId="7712728F" w14:textId="42363135" w:rsidR="008E47AE" w:rsidRPr="00A41002" w:rsidRDefault="008E47AE" w:rsidP="008E47AE">
      <w:pPr>
        <w:pStyle w:val="numerados"/>
        <w:ind w:left="0" w:hanging="1"/>
        <w:rPr>
          <w:rFonts w:cs="Arial"/>
        </w:rPr>
      </w:pPr>
      <w:r w:rsidRPr="00A41002">
        <w:rPr>
          <w:b/>
        </w:rPr>
        <w:t xml:space="preserve">Legitimación e interés incompatible. </w:t>
      </w:r>
      <w:r w:rsidRPr="00A41002">
        <w:rPr>
          <w:rFonts w:cs="Arial"/>
          <w:iCs/>
          <w:noProof/>
        </w:rPr>
        <w:t>En el caso</w:t>
      </w:r>
      <w:r w:rsidR="00DE7C12" w:rsidRPr="00A41002">
        <w:rPr>
          <w:rFonts w:cs="Arial"/>
          <w:iCs/>
          <w:noProof/>
        </w:rPr>
        <w:t>,</w:t>
      </w:r>
      <w:r w:rsidRPr="00A41002">
        <w:rPr>
          <w:rFonts w:cs="Arial"/>
          <w:iCs/>
          <w:noProof/>
        </w:rPr>
        <w:t xml:space="preserve"> se cumplen los presentes requisitos de conformidad con el artículo 12, apartado 2, de la citada Ley, ya que </w:t>
      </w:r>
      <w:r w:rsidRPr="00A41002">
        <w:t xml:space="preserve">la compareciente se encuentra legitimada, porque fue parte </w:t>
      </w:r>
      <w:r w:rsidR="00D26EED" w:rsidRPr="00A41002">
        <w:t>actora</w:t>
      </w:r>
      <w:r w:rsidRPr="00A41002">
        <w:t xml:space="preserve"> en la instancia </w:t>
      </w:r>
      <w:r w:rsidRPr="00A41002">
        <w:lastRenderedPageBreak/>
        <w:t xml:space="preserve">local y tiene un interés legítimo en la causa, derivado de un derecho incompatible al que pretende </w:t>
      </w:r>
      <w:r w:rsidR="00D26EED" w:rsidRPr="00A41002">
        <w:t>e</w:t>
      </w:r>
      <w:r w:rsidRPr="00A41002">
        <w:t>l promovente.</w:t>
      </w:r>
    </w:p>
    <w:p w14:paraId="19C1DA2D" w14:textId="737BEF24" w:rsidR="008E47AE" w:rsidRPr="00A41002" w:rsidRDefault="008E47AE" w:rsidP="008E47AE">
      <w:pPr>
        <w:pStyle w:val="numerados"/>
        <w:ind w:left="0" w:hanging="1"/>
      </w:pPr>
      <w:r w:rsidRPr="00A41002">
        <w:t xml:space="preserve">Esto, ya que solicita que se confirme la sentencia impugnada a fin de que subsista </w:t>
      </w:r>
      <w:r w:rsidR="00D26EED" w:rsidRPr="00A41002">
        <w:t xml:space="preserve">la nulidad de la elección de la Comisaría de </w:t>
      </w:r>
      <w:proofErr w:type="spellStart"/>
      <w:r w:rsidR="00D26EED" w:rsidRPr="00A41002">
        <w:t>Xcumpich</w:t>
      </w:r>
      <w:proofErr w:type="spellEnd"/>
      <w:r w:rsidR="00D26EED" w:rsidRPr="00A41002">
        <w:t>, así como la revocación de la designación del actor como comisario de dicha localidad</w:t>
      </w:r>
      <w:r w:rsidRPr="00A41002">
        <w:t>, mientras que la parte promovente dentro del presente juicio, pretende lo contrario.</w:t>
      </w:r>
    </w:p>
    <w:p w14:paraId="3CDBBE80" w14:textId="77777777" w:rsidR="008E47AE" w:rsidRPr="00A41002" w:rsidRDefault="008E47AE" w:rsidP="008E47AE">
      <w:pPr>
        <w:pStyle w:val="numerados"/>
        <w:ind w:left="0" w:hanging="1"/>
      </w:pPr>
      <w:r w:rsidRPr="00A41002">
        <w:rPr>
          <w:noProof/>
        </w:rPr>
        <w:t xml:space="preserve">En consecuencia, debido a que se encuentran cumplidos los requisitos </w:t>
      </w:r>
      <w:r w:rsidRPr="00A41002">
        <w:t>referidos</w:t>
      </w:r>
      <w:r w:rsidRPr="00A41002">
        <w:rPr>
          <w:noProof/>
        </w:rPr>
        <w:t>, es procedente reconocerle el carácter de tercera interesada.</w:t>
      </w:r>
    </w:p>
    <w:p w14:paraId="5527F949" w14:textId="43C92C3A" w:rsidR="008E47AE" w:rsidRPr="00A41002" w:rsidRDefault="004F3481" w:rsidP="008E47AE">
      <w:pPr>
        <w:spacing w:before="120"/>
        <w:outlineLvl w:val="1"/>
        <w:rPr>
          <w:b/>
          <w:bCs/>
          <w:iCs/>
          <w:szCs w:val="28"/>
        </w:rPr>
      </w:pPr>
      <w:bookmarkStart w:id="45" w:name="_Toc193449550"/>
      <w:bookmarkStart w:id="46" w:name="_Toc198028405"/>
      <w:r w:rsidRPr="00A41002">
        <w:rPr>
          <w:b/>
          <w:bCs/>
          <w:iCs/>
          <w:szCs w:val="28"/>
        </w:rPr>
        <w:t>CUARTO</w:t>
      </w:r>
      <w:r w:rsidR="008E47AE" w:rsidRPr="00A41002">
        <w:rPr>
          <w:b/>
          <w:bCs/>
          <w:iCs/>
          <w:szCs w:val="28"/>
        </w:rPr>
        <w:t xml:space="preserve">. </w:t>
      </w:r>
      <w:bookmarkStart w:id="47" w:name="_Hlk7030546"/>
      <w:bookmarkEnd w:id="43"/>
      <w:r w:rsidR="008E47AE" w:rsidRPr="00A41002">
        <w:rPr>
          <w:b/>
          <w:bCs/>
          <w:iCs/>
          <w:szCs w:val="28"/>
        </w:rPr>
        <w:t>Causal de improcedencia</w:t>
      </w:r>
      <w:bookmarkEnd w:id="45"/>
      <w:bookmarkEnd w:id="46"/>
    </w:p>
    <w:p w14:paraId="1BA09E0A" w14:textId="7F715210" w:rsidR="008E47AE" w:rsidRPr="00A41002" w:rsidRDefault="008E47AE" w:rsidP="00E10A9E">
      <w:pPr>
        <w:pStyle w:val="numerados"/>
        <w:ind w:left="0" w:hanging="1"/>
        <w:rPr>
          <w:lang w:val="es-ES"/>
        </w:rPr>
      </w:pPr>
      <w:r w:rsidRPr="00A41002">
        <w:rPr>
          <w:rFonts w:eastAsiaTheme="minorHAnsi"/>
          <w:lang w:val="es-ES"/>
        </w:rPr>
        <w:t xml:space="preserve">La tercera interesada expone que la demanda interpuesta </w:t>
      </w:r>
      <w:r w:rsidR="00E10A9E" w:rsidRPr="00A41002">
        <w:rPr>
          <w:rFonts w:eastAsiaTheme="minorHAnsi"/>
          <w:lang w:val="es-ES"/>
        </w:rPr>
        <w:t xml:space="preserve">debe ser declarada improcedente toda vez que </w:t>
      </w:r>
      <w:r w:rsidR="00357ABE" w:rsidRPr="00A41002">
        <w:rPr>
          <w:rFonts w:eastAsiaTheme="minorHAnsi"/>
          <w:lang w:val="es-ES"/>
        </w:rPr>
        <w:t>el actor promovió un juicio electoral, por lo que, no era la vía idónea para combatir la sentencia emitida por el Tribunal Electoral local.</w:t>
      </w:r>
    </w:p>
    <w:p w14:paraId="1E41B2BD" w14:textId="1403E050" w:rsidR="00357ABE" w:rsidRPr="00A41002" w:rsidRDefault="00357ABE" w:rsidP="00E10A9E">
      <w:pPr>
        <w:pStyle w:val="numerados"/>
        <w:ind w:left="0" w:hanging="1"/>
        <w:rPr>
          <w:lang w:val="es-ES"/>
        </w:rPr>
      </w:pPr>
      <w:r w:rsidRPr="00A41002">
        <w:rPr>
          <w:rFonts w:eastAsiaTheme="minorHAnsi"/>
          <w:lang w:val="es-ES"/>
        </w:rPr>
        <w:t>En ese sentido, refiere que se actualiza la deficiencia en la demanda presentada ya que el actor funda su pretensión en un juicio electoral, el cual no se encuentra establecido en la Ley General de Medios, provocando confusión o desconcierto a las autoridades resolutoras.</w:t>
      </w:r>
    </w:p>
    <w:p w14:paraId="17C88F1F" w14:textId="579075F5" w:rsidR="00357ABE" w:rsidRPr="00A41002" w:rsidRDefault="00357ABE" w:rsidP="00357ABE">
      <w:pPr>
        <w:pStyle w:val="numerados"/>
        <w:ind w:left="0" w:hanging="1"/>
        <w:rPr>
          <w:rFonts w:eastAsiaTheme="minorHAnsi"/>
        </w:rPr>
      </w:pPr>
      <w:r w:rsidRPr="00A41002">
        <w:rPr>
          <w:rFonts w:eastAsiaTheme="minorHAnsi"/>
          <w:lang w:val="es-ES"/>
        </w:rPr>
        <w:t>Esta Sala Regional considera que se debe</w:t>
      </w:r>
      <w:r w:rsidR="00A62097" w:rsidRPr="00A41002">
        <w:rPr>
          <w:rFonts w:eastAsiaTheme="minorHAnsi"/>
          <w:lang w:val="es-ES"/>
        </w:rPr>
        <w:t xml:space="preserve"> </w:t>
      </w:r>
      <w:r w:rsidRPr="00A41002">
        <w:rPr>
          <w:rFonts w:eastAsiaTheme="minorHAnsi"/>
          <w:b/>
          <w:bCs/>
          <w:lang w:val="es-ES"/>
        </w:rPr>
        <w:t>desestimar</w:t>
      </w:r>
      <w:r w:rsidR="00A62097" w:rsidRPr="00A41002">
        <w:rPr>
          <w:rFonts w:eastAsiaTheme="minorHAnsi"/>
          <w:b/>
          <w:bCs/>
          <w:lang w:val="es-ES"/>
        </w:rPr>
        <w:t xml:space="preserve"> </w:t>
      </w:r>
      <w:r w:rsidRPr="00A41002">
        <w:rPr>
          <w:rFonts w:eastAsiaTheme="minorHAnsi"/>
          <w:lang w:val="es-ES"/>
        </w:rPr>
        <w:t xml:space="preserve">la causal de improcedencia debido a que es un planteamiento genérico que se limita a referir que el juicio no se encuentra previsto en la Ley </w:t>
      </w:r>
      <w:r w:rsidR="00A62097" w:rsidRPr="00A41002">
        <w:rPr>
          <w:rFonts w:eastAsiaTheme="minorHAnsi"/>
          <w:lang w:val="es-ES"/>
        </w:rPr>
        <w:t xml:space="preserve">General </w:t>
      </w:r>
      <w:r w:rsidRPr="00A41002">
        <w:rPr>
          <w:rFonts w:eastAsiaTheme="minorHAnsi"/>
          <w:lang w:val="es-ES"/>
        </w:rPr>
        <w:t xml:space="preserve">de Medios y que no cumple con los </w:t>
      </w:r>
      <w:r w:rsidRPr="00A41002">
        <w:rPr>
          <w:rFonts w:eastAsiaTheme="minorHAnsi"/>
          <w:lang w:val="es-ES"/>
        </w:rPr>
        <w:lastRenderedPageBreak/>
        <w:t>requisitos legales, sin embargo, no hace referencia a qué requisitos son los que, desde su perspectiva, no cumple el medio de impugnación bajo análisis.</w:t>
      </w:r>
    </w:p>
    <w:p w14:paraId="04274B4B" w14:textId="17EB76E9" w:rsidR="00357ABE" w:rsidRPr="00A41002" w:rsidRDefault="00357ABE" w:rsidP="00357ABE">
      <w:pPr>
        <w:pStyle w:val="numerados"/>
        <w:ind w:left="0" w:hanging="1"/>
        <w:rPr>
          <w:rFonts w:eastAsiaTheme="minorHAnsi"/>
        </w:rPr>
      </w:pPr>
      <w:r w:rsidRPr="00A41002">
        <w:rPr>
          <w:rFonts w:eastAsiaTheme="minorHAnsi"/>
          <w:lang w:val="es-ES"/>
        </w:rPr>
        <w:t>A mayor abundamiento, como ya se ha razonado en párrafos anteriores esta Sala Regional tiene competencia para conocer del medio de impugnación presentado por el actor, debido a que controvierte una sentencia emitida por una autoridad electoral</w:t>
      </w:r>
      <w:r w:rsidR="00A62097" w:rsidRPr="00A41002">
        <w:rPr>
          <w:rFonts w:eastAsiaTheme="minorHAnsi"/>
          <w:lang w:val="es-ES"/>
        </w:rPr>
        <w:t>, además que la controversia planteada se relaciona con una elección de autoridades auxiliares del Ayuntamiento de Mérida, Yucatán</w:t>
      </w:r>
      <w:r w:rsidRPr="00A41002">
        <w:rPr>
          <w:rFonts w:eastAsiaTheme="minorHAnsi"/>
          <w:lang w:val="es-ES"/>
        </w:rPr>
        <w:t>.</w:t>
      </w:r>
    </w:p>
    <w:p w14:paraId="7280241B" w14:textId="518B2C3D" w:rsidR="00357ABE" w:rsidRPr="00A41002" w:rsidRDefault="00357ABE" w:rsidP="00357ABE">
      <w:pPr>
        <w:pStyle w:val="numerados"/>
        <w:ind w:left="0" w:hanging="1"/>
        <w:rPr>
          <w:rFonts w:eastAsiaTheme="minorHAnsi"/>
        </w:rPr>
      </w:pPr>
      <w:r w:rsidRPr="00A41002">
        <w:rPr>
          <w:rFonts w:eastAsiaTheme="minorHAnsi"/>
          <w:lang w:val="es-ES"/>
        </w:rPr>
        <w:t>Aunado a</w:t>
      </w:r>
      <w:r w:rsidR="0067290B" w:rsidRPr="00A41002">
        <w:rPr>
          <w:rFonts w:eastAsiaTheme="minorHAnsi"/>
          <w:lang w:val="es-ES"/>
        </w:rPr>
        <w:t xml:space="preserve"> lo anterior</w:t>
      </w:r>
      <w:r w:rsidRPr="00A41002">
        <w:rPr>
          <w:rFonts w:eastAsiaTheme="minorHAnsi"/>
          <w:lang w:val="es-ES"/>
        </w:rPr>
        <w:t xml:space="preserve">, la tercera interesada parte de una premisa inexacta al señalar que el actor promovió un juicio electoral, pues contrario a ello, promovió </w:t>
      </w:r>
      <w:r w:rsidR="0054051C" w:rsidRPr="00A41002">
        <w:rPr>
          <w:rFonts w:eastAsiaTheme="minorHAnsi"/>
          <w:lang w:val="es-ES"/>
        </w:rPr>
        <w:t xml:space="preserve">expresamente </w:t>
      </w:r>
      <w:r w:rsidRPr="00A41002">
        <w:rPr>
          <w:rFonts w:eastAsiaTheme="minorHAnsi"/>
          <w:lang w:val="es-ES"/>
        </w:rPr>
        <w:t>un juicio de la ciudadanía, sosteniendo que se vulneran sus derechos político-electorales, lo cual, en su caso es un tema que debe responderse en el estudio de fondo y no como una causa de improcedencia.</w:t>
      </w:r>
    </w:p>
    <w:p w14:paraId="239E2EF8" w14:textId="1D66F59C" w:rsidR="00357ABE" w:rsidRPr="00A41002" w:rsidRDefault="00357ABE" w:rsidP="00357ABE">
      <w:pPr>
        <w:pStyle w:val="numerados"/>
        <w:ind w:left="0" w:hanging="1"/>
        <w:rPr>
          <w:lang w:val="es-ES"/>
        </w:rPr>
      </w:pPr>
      <w:r w:rsidRPr="00A41002">
        <w:rPr>
          <w:rFonts w:eastAsiaTheme="minorHAnsi"/>
          <w:lang w:val="es-ES"/>
        </w:rPr>
        <w:t>De ahí que, se desestima la causa de improcedencia que formuló la tercera interesada.</w:t>
      </w:r>
    </w:p>
    <w:p w14:paraId="35CF3357" w14:textId="6175A482" w:rsidR="008E47AE" w:rsidRPr="00A41002" w:rsidRDefault="004F3481" w:rsidP="007F5E1A">
      <w:pPr>
        <w:pStyle w:val="Ttulo2"/>
        <w:spacing w:after="240"/>
        <w:rPr>
          <w:rFonts w:ascii="Univers" w:hAnsi="Univers"/>
          <w:b/>
          <w:bCs/>
          <w:color w:val="auto"/>
          <w:sz w:val="28"/>
          <w:szCs w:val="28"/>
        </w:rPr>
      </w:pPr>
      <w:bookmarkStart w:id="48" w:name="_Toc193449551"/>
      <w:bookmarkStart w:id="49" w:name="_Toc198028406"/>
      <w:r w:rsidRPr="00A41002">
        <w:rPr>
          <w:rFonts w:ascii="Univers" w:hAnsi="Univers"/>
          <w:b/>
          <w:bCs/>
          <w:color w:val="auto"/>
          <w:sz w:val="28"/>
          <w:szCs w:val="28"/>
        </w:rPr>
        <w:t>QUINTO</w:t>
      </w:r>
      <w:r w:rsidR="008E47AE" w:rsidRPr="00A41002">
        <w:rPr>
          <w:rFonts w:ascii="Univers" w:hAnsi="Univers"/>
          <w:b/>
          <w:bCs/>
          <w:color w:val="auto"/>
          <w:sz w:val="28"/>
          <w:szCs w:val="28"/>
        </w:rPr>
        <w:t>. Requisitos de procedencia</w:t>
      </w:r>
      <w:bookmarkEnd w:id="48"/>
      <w:bookmarkEnd w:id="49"/>
    </w:p>
    <w:p w14:paraId="68F16426" w14:textId="38561A53" w:rsidR="008E47AE" w:rsidRPr="00A41002" w:rsidRDefault="008E47AE" w:rsidP="008E47AE">
      <w:pPr>
        <w:pStyle w:val="numerados"/>
        <w:ind w:left="0" w:hanging="1"/>
        <w:rPr>
          <w:lang w:val="es-ES"/>
        </w:rPr>
      </w:pPr>
      <w:r w:rsidRPr="00A41002">
        <w:rPr>
          <w:rFonts w:eastAsiaTheme="minorHAnsi"/>
          <w:lang w:val="es-ES"/>
        </w:rPr>
        <w:t xml:space="preserve">En el presente juicio </w:t>
      </w:r>
      <w:r w:rsidRPr="00A41002">
        <w:rPr>
          <w:lang w:val="es-ES"/>
        </w:rPr>
        <w:t>se</w:t>
      </w:r>
      <w:r w:rsidRPr="00A41002">
        <w:rPr>
          <w:rFonts w:eastAsiaTheme="minorHAnsi"/>
          <w:lang w:val="es-ES"/>
        </w:rPr>
        <w:t xml:space="preserve"> encuentran satisfechos los requisitos de procedencia, en términos de los artículos 7, apartado </w:t>
      </w:r>
      <w:r w:rsidR="00A62097" w:rsidRPr="00A41002">
        <w:rPr>
          <w:rFonts w:eastAsiaTheme="minorHAnsi"/>
          <w:lang w:val="es-ES"/>
        </w:rPr>
        <w:t>1</w:t>
      </w:r>
      <w:r w:rsidRPr="00A41002">
        <w:rPr>
          <w:rFonts w:eastAsiaTheme="minorHAnsi"/>
          <w:lang w:val="es-ES"/>
        </w:rPr>
        <w:t xml:space="preserve">, 8, 9, 79, apartado 1 y 80 de la </w:t>
      </w:r>
      <w:r w:rsidRPr="00A41002">
        <w:t>Ley</w:t>
      </w:r>
      <w:r w:rsidRPr="00A41002">
        <w:rPr>
          <w:rFonts w:eastAsiaTheme="minorHAnsi"/>
          <w:lang w:val="es-ES"/>
        </w:rPr>
        <w:t xml:space="preserve"> General de Medios, como se expone a continuación:</w:t>
      </w:r>
    </w:p>
    <w:p w14:paraId="7CF90ECA" w14:textId="27A7B890" w:rsidR="008E47AE" w:rsidRPr="00A41002" w:rsidRDefault="008E47AE" w:rsidP="00040539">
      <w:pPr>
        <w:pStyle w:val="numerados"/>
        <w:ind w:left="0" w:hanging="1"/>
        <w:rPr>
          <w:bCs/>
          <w:lang w:val="es-ES"/>
        </w:rPr>
      </w:pPr>
      <w:r w:rsidRPr="00A41002">
        <w:rPr>
          <w:b/>
          <w:lang w:val="es-ES"/>
        </w:rPr>
        <w:lastRenderedPageBreak/>
        <w:t>Forma.</w:t>
      </w:r>
      <w:r w:rsidRPr="00A41002">
        <w:rPr>
          <w:lang w:val="es-ES"/>
        </w:rPr>
        <w:t xml:space="preserve"> La demanda se presentó por escrito y en la misma se hace constar el nombre y firma autógrafa de quien promueve</w:t>
      </w:r>
      <w:r w:rsidR="00040539" w:rsidRPr="00A41002">
        <w:rPr>
          <w:lang w:val="es-ES"/>
        </w:rPr>
        <w:t>, asimismo,</w:t>
      </w:r>
      <w:r w:rsidRPr="00A41002">
        <w:rPr>
          <w:lang w:val="es-ES"/>
        </w:rPr>
        <w:t xml:space="preserve"> se identifica el acto </w:t>
      </w:r>
      <w:r w:rsidRPr="00A41002">
        <w:t>impugnado</w:t>
      </w:r>
      <w:r w:rsidRPr="00A41002">
        <w:rPr>
          <w:lang w:val="es-ES"/>
        </w:rPr>
        <w:t>, la autoridad responsable; se mencionan los hechos en que se basa la impugnaci</w:t>
      </w:r>
      <w:r w:rsidR="00E03164" w:rsidRPr="00A41002">
        <w:rPr>
          <w:lang w:val="es-ES"/>
        </w:rPr>
        <w:t>ón</w:t>
      </w:r>
      <w:r w:rsidRPr="00A41002">
        <w:rPr>
          <w:lang w:val="es-ES"/>
        </w:rPr>
        <w:t xml:space="preserve"> y se exponen los agravios que se estiman pertinentes.</w:t>
      </w:r>
    </w:p>
    <w:p w14:paraId="1B13F07C" w14:textId="7DF34B64" w:rsidR="005429F6" w:rsidRPr="00A41002" w:rsidRDefault="008E47AE" w:rsidP="006F79F5">
      <w:pPr>
        <w:pStyle w:val="numerados"/>
        <w:ind w:left="0" w:hanging="1"/>
      </w:pPr>
      <w:r w:rsidRPr="00A41002">
        <w:rPr>
          <w:b/>
          <w:lang w:val="es-ES"/>
        </w:rPr>
        <w:t>Oportunidad.</w:t>
      </w:r>
      <w:r w:rsidRPr="00A41002">
        <w:rPr>
          <w:lang w:val="es-ES"/>
        </w:rPr>
        <w:t xml:space="preserve"> </w:t>
      </w:r>
      <w:r w:rsidR="00A62097" w:rsidRPr="00A41002">
        <w:rPr>
          <w:lang w:val="es-ES"/>
        </w:rPr>
        <w:t>D</w:t>
      </w:r>
      <w:proofErr w:type="spellStart"/>
      <w:r w:rsidR="002A7BD1" w:rsidRPr="00A41002">
        <w:rPr>
          <w:bCs/>
        </w:rPr>
        <w:t>e</w:t>
      </w:r>
      <w:proofErr w:type="spellEnd"/>
      <w:r w:rsidR="002A7BD1" w:rsidRPr="00A41002">
        <w:rPr>
          <w:bCs/>
        </w:rPr>
        <w:t xml:space="preserve"> las constancias</w:t>
      </w:r>
      <w:r w:rsidR="002A7BD1" w:rsidRPr="00A41002">
        <w:rPr>
          <w:b/>
        </w:rPr>
        <w:t xml:space="preserve"> </w:t>
      </w:r>
      <w:r w:rsidR="005C3F7E" w:rsidRPr="00A41002">
        <w:rPr>
          <w:lang w:val="es-ES"/>
        </w:rPr>
        <w:t xml:space="preserve">que integran el </w:t>
      </w:r>
      <w:r w:rsidR="00573456" w:rsidRPr="00A41002">
        <w:rPr>
          <w:lang w:val="es-ES"/>
        </w:rPr>
        <w:t xml:space="preserve">presente </w:t>
      </w:r>
      <w:r w:rsidR="005C3F7E" w:rsidRPr="00A41002">
        <w:rPr>
          <w:lang w:val="es-ES"/>
        </w:rPr>
        <w:t>expediente</w:t>
      </w:r>
      <w:r w:rsidR="00F74956" w:rsidRPr="00A41002">
        <w:rPr>
          <w:lang w:val="es-ES"/>
        </w:rPr>
        <w:t>,</w:t>
      </w:r>
      <w:r w:rsidR="000925AD" w:rsidRPr="00A41002">
        <w:rPr>
          <w:lang w:val="es-ES"/>
        </w:rPr>
        <w:t xml:space="preserve"> </w:t>
      </w:r>
      <w:r w:rsidR="00A62097" w:rsidRPr="00A41002">
        <w:rPr>
          <w:lang w:val="es-ES"/>
        </w:rPr>
        <w:t xml:space="preserve">se advierte que mediante escrito de </w:t>
      </w:r>
      <w:r w:rsidR="003F6933" w:rsidRPr="00A41002">
        <w:rPr>
          <w:lang w:val="es-ES"/>
        </w:rPr>
        <w:t xml:space="preserve">uno de diciembre de dos mil veinticuatro </w:t>
      </w:r>
      <w:r w:rsidR="00573456" w:rsidRPr="00A41002">
        <w:rPr>
          <w:lang w:val="es-ES"/>
        </w:rPr>
        <w:t xml:space="preserve">el actor pretendió comparecer </w:t>
      </w:r>
      <w:r w:rsidR="003F6933" w:rsidRPr="00A41002">
        <w:rPr>
          <w:lang w:val="es-ES"/>
        </w:rPr>
        <w:t>en el juicio de la ciudadanía</w:t>
      </w:r>
      <w:r w:rsidR="00573456" w:rsidRPr="00A41002">
        <w:rPr>
          <w:lang w:val="es-ES"/>
        </w:rPr>
        <w:t xml:space="preserve"> local como tercero interesado</w:t>
      </w:r>
      <w:r w:rsidR="00573456" w:rsidRPr="00A41002">
        <w:rPr>
          <w:rStyle w:val="Refdenotaalpie"/>
          <w:lang w:val="es-ES"/>
        </w:rPr>
        <w:footnoteReference w:id="17"/>
      </w:r>
      <w:r w:rsidR="00573456" w:rsidRPr="00A41002">
        <w:rPr>
          <w:lang w:val="es-ES"/>
        </w:rPr>
        <w:t xml:space="preserve">, </w:t>
      </w:r>
      <w:r w:rsidR="003F6933" w:rsidRPr="00A41002">
        <w:rPr>
          <w:lang w:val="es-ES"/>
        </w:rPr>
        <w:t>sin embargo</w:t>
      </w:r>
      <w:r w:rsidR="00573456" w:rsidRPr="00A41002">
        <w:rPr>
          <w:lang w:val="es-ES"/>
        </w:rPr>
        <w:t xml:space="preserve">, </w:t>
      </w:r>
      <w:r w:rsidR="00266A5F" w:rsidRPr="00A41002">
        <w:rPr>
          <w:lang w:val="es-ES"/>
        </w:rPr>
        <w:t xml:space="preserve">en ningún momento </w:t>
      </w:r>
      <w:r w:rsidR="00F02E8E" w:rsidRPr="00A41002">
        <w:rPr>
          <w:lang w:val="es-ES"/>
        </w:rPr>
        <w:t>d</w:t>
      </w:r>
      <w:r w:rsidR="00266A5F" w:rsidRPr="00A41002">
        <w:rPr>
          <w:lang w:val="es-ES"/>
        </w:rPr>
        <w:t>e</w:t>
      </w:r>
      <w:r w:rsidR="00F02E8E" w:rsidRPr="00A41002">
        <w:rPr>
          <w:lang w:val="es-ES"/>
        </w:rPr>
        <w:t xml:space="preserve"> la sustanciación del juicio local o, </w:t>
      </w:r>
      <w:r w:rsidR="003F6933" w:rsidRPr="00A41002">
        <w:rPr>
          <w:lang w:val="es-ES"/>
        </w:rPr>
        <w:t>en</w:t>
      </w:r>
      <w:r w:rsidR="00F02E8E" w:rsidRPr="00A41002">
        <w:rPr>
          <w:lang w:val="es-ES"/>
        </w:rPr>
        <w:t xml:space="preserve"> la propia sentencia impugnada, </w:t>
      </w:r>
      <w:r w:rsidR="00573456" w:rsidRPr="00A41002">
        <w:rPr>
          <w:lang w:val="es-ES"/>
        </w:rPr>
        <w:t xml:space="preserve">el TEEY </w:t>
      </w:r>
      <w:r w:rsidR="003F6933" w:rsidRPr="00A41002">
        <w:rPr>
          <w:lang w:val="es-ES"/>
        </w:rPr>
        <w:t>s</w:t>
      </w:r>
      <w:r w:rsidR="00573456" w:rsidRPr="00A41002">
        <w:rPr>
          <w:lang w:val="es-ES"/>
        </w:rPr>
        <w:t xml:space="preserve">e </w:t>
      </w:r>
      <w:r w:rsidR="003F6933" w:rsidRPr="00A41002">
        <w:rPr>
          <w:lang w:val="es-ES"/>
        </w:rPr>
        <w:t>pronunció sobre la procedencia o no del referido escrito de comparecencia</w:t>
      </w:r>
      <w:r w:rsidR="00F74956" w:rsidRPr="00A41002">
        <w:rPr>
          <w:lang w:val="es-ES"/>
        </w:rPr>
        <w:t>,</w:t>
      </w:r>
      <w:r w:rsidR="006F79F5" w:rsidRPr="00A41002">
        <w:rPr>
          <w:lang w:val="es-ES"/>
        </w:rPr>
        <w:t xml:space="preserve"> lo que, a criterio de este órgano jurisdiccional, trajo como consecuencia </w:t>
      </w:r>
      <w:r w:rsidR="006F79F5" w:rsidRPr="00A41002">
        <w:rPr>
          <w:bCs/>
        </w:rPr>
        <w:t xml:space="preserve">que la sentencia controvertida no le haya sido notificada </w:t>
      </w:r>
      <w:r w:rsidR="003F6933" w:rsidRPr="00A41002">
        <w:rPr>
          <w:bCs/>
        </w:rPr>
        <w:t>personalmente al hoy actor</w:t>
      </w:r>
      <w:r w:rsidR="009F5BF8" w:rsidRPr="00A41002">
        <w:rPr>
          <w:lang w:val="es-ES"/>
        </w:rPr>
        <w:t>.</w:t>
      </w:r>
      <w:r w:rsidR="005429F6" w:rsidRPr="00A41002">
        <w:rPr>
          <w:lang w:val="es-ES"/>
        </w:rPr>
        <w:t xml:space="preserve"> </w:t>
      </w:r>
      <w:r w:rsidR="0054051C" w:rsidRPr="00A41002">
        <w:rPr>
          <w:lang w:val="es-ES"/>
        </w:rPr>
        <w:t xml:space="preserve"> </w:t>
      </w:r>
    </w:p>
    <w:p w14:paraId="7F8130C8" w14:textId="29758FBF" w:rsidR="009B4952" w:rsidRPr="00A41002" w:rsidRDefault="00B969D5" w:rsidP="006F79F5">
      <w:pPr>
        <w:pStyle w:val="numerados"/>
        <w:ind w:left="0" w:hanging="1"/>
        <w:rPr>
          <w:lang w:val="es-ES"/>
        </w:rPr>
      </w:pPr>
      <w:r w:rsidRPr="00A41002">
        <w:rPr>
          <w:lang w:val="es-ES"/>
        </w:rPr>
        <w:t>Por lo anterior</w:t>
      </w:r>
      <w:r w:rsidR="009B4952" w:rsidRPr="00A41002">
        <w:rPr>
          <w:lang w:val="es-ES"/>
        </w:rPr>
        <w:t>,</w:t>
      </w:r>
      <w:r w:rsidR="003F6933" w:rsidRPr="00A41002">
        <w:rPr>
          <w:lang w:val="es-ES"/>
        </w:rPr>
        <w:t xml:space="preserve"> a juicio de</w:t>
      </w:r>
      <w:r w:rsidR="009B4952" w:rsidRPr="00A41002">
        <w:rPr>
          <w:lang w:val="es-ES"/>
        </w:rPr>
        <w:t xml:space="preserve"> esta Sala Regional </w:t>
      </w:r>
      <w:r w:rsidR="003F6933" w:rsidRPr="00A41002">
        <w:rPr>
          <w:lang w:val="es-ES"/>
        </w:rPr>
        <w:t>es</w:t>
      </w:r>
      <w:r w:rsidR="006F79F5" w:rsidRPr="00A41002">
        <w:rPr>
          <w:lang w:val="es-ES"/>
        </w:rPr>
        <w:t xml:space="preserve"> evidente </w:t>
      </w:r>
      <w:r w:rsidR="003F6933" w:rsidRPr="00A41002">
        <w:rPr>
          <w:lang w:val="es-ES"/>
        </w:rPr>
        <w:t xml:space="preserve">la </w:t>
      </w:r>
      <w:r w:rsidR="006F79F5" w:rsidRPr="00A41002">
        <w:rPr>
          <w:lang w:val="es-ES"/>
        </w:rPr>
        <w:t xml:space="preserve">omisión </w:t>
      </w:r>
      <w:r w:rsidR="005D5C81" w:rsidRPr="00A41002">
        <w:rPr>
          <w:lang w:val="es-ES"/>
        </w:rPr>
        <w:t xml:space="preserve">procesal </w:t>
      </w:r>
      <w:r w:rsidR="003F6933" w:rsidRPr="00A41002">
        <w:rPr>
          <w:lang w:val="es-ES"/>
        </w:rPr>
        <w:t>en que incurrió el</w:t>
      </w:r>
      <w:r w:rsidR="00335B4F" w:rsidRPr="00A41002">
        <w:rPr>
          <w:lang w:val="es-ES"/>
        </w:rPr>
        <w:t xml:space="preserve"> Tribunal</w:t>
      </w:r>
      <w:r w:rsidR="006F79F5" w:rsidRPr="00A41002">
        <w:rPr>
          <w:lang w:val="es-ES"/>
        </w:rPr>
        <w:t xml:space="preserve"> </w:t>
      </w:r>
      <w:r w:rsidR="003F6933" w:rsidRPr="00A41002">
        <w:rPr>
          <w:lang w:val="es-ES"/>
        </w:rPr>
        <w:t xml:space="preserve">Electoral </w:t>
      </w:r>
      <w:r w:rsidR="006F79F5" w:rsidRPr="00A41002">
        <w:rPr>
          <w:lang w:val="es-ES"/>
        </w:rPr>
        <w:t>local</w:t>
      </w:r>
      <w:r w:rsidR="00335B4F" w:rsidRPr="00A41002">
        <w:rPr>
          <w:lang w:val="es-ES"/>
        </w:rPr>
        <w:t xml:space="preserve"> </w:t>
      </w:r>
      <w:r w:rsidRPr="00A41002">
        <w:rPr>
          <w:lang w:val="es-ES"/>
        </w:rPr>
        <w:t>a</w:t>
      </w:r>
      <w:r w:rsidR="006F79F5" w:rsidRPr="00A41002">
        <w:rPr>
          <w:lang w:val="es-ES"/>
        </w:rPr>
        <w:t xml:space="preserve">l </w:t>
      </w:r>
      <w:r w:rsidR="00C2698C" w:rsidRPr="00A41002">
        <w:rPr>
          <w:lang w:val="es-ES"/>
        </w:rPr>
        <w:t xml:space="preserve">no </w:t>
      </w:r>
      <w:r w:rsidR="003F6933" w:rsidRPr="00A41002">
        <w:rPr>
          <w:lang w:val="es-ES"/>
        </w:rPr>
        <w:t>haber analizado la procedencia del escrito de comparecencia referido</w:t>
      </w:r>
      <w:r w:rsidR="006F79F5" w:rsidRPr="00A41002">
        <w:rPr>
          <w:lang w:val="es-ES"/>
        </w:rPr>
        <w:t xml:space="preserve"> y</w:t>
      </w:r>
      <w:r w:rsidR="00C2698C" w:rsidRPr="00A41002">
        <w:rPr>
          <w:lang w:val="es-ES"/>
        </w:rPr>
        <w:t xml:space="preserve">, en consecuencia, no haberle notificado </w:t>
      </w:r>
      <w:r w:rsidR="006F79F5" w:rsidRPr="00A41002">
        <w:rPr>
          <w:lang w:val="es-ES"/>
        </w:rPr>
        <w:t xml:space="preserve">la sentencia impugnada, máxime que la misma </w:t>
      </w:r>
      <w:r w:rsidR="00F54849" w:rsidRPr="00A41002">
        <w:rPr>
          <w:lang w:val="es-ES"/>
        </w:rPr>
        <w:t xml:space="preserve">conllevó una afectación directa a su derecho político-electoral de ser votado, al </w:t>
      </w:r>
      <w:r w:rsidRPr="00A41002">
        <w:rPr>
          <w:lang w:val="es-ES"/>
        </w:rPr>
        <w:t xml:space="preserve">revocar </w:t>
      </w:r>
      <w:r w:rsidR="006F79F5" w:rsidRPr="00A41002">
        <w:rPr>
          <w:lang w:val="es-ES"/>
        </w:rPr>
        <w:t>su designación como comisario</w:t>
      </w:r>
      <w:r w:rsidR="009B4952" w:rsidRPr="00A41002">
        <w:rPr>
          <w:lang w:val="es-ES"/>
        </w:rPr>
        <w:t xml:space="preserve"> de una localidad.</w:t>
      </w:r>
    </w:p>
    <w:p w14:paraId="1A369512" w14:textId="21BE40A7" w:rsidR="0054051C" w:rsidRPr="00A41002" w:rsidRDefault="00B969D5" w:rsidP="006F79F5">
      <w:pPr>
        <w:pStyle w:val="numerados"/>
        <w:ind w:left="0" w:hanging="1"/>
        <w:rPr>
          <w:lang w:val="es-ES"/>
        </w:rPr>
      </w:pPr>
      <w:r w:rsidRPr="00A41002">
        <w:rPr>
          <w:lang w:val="es-ES"/>
        </w:rPr>
        <w:t>En ese sentido</w:t>
      </w:r>
      <w:r w:rsidR="009B4952" w:rsidRPr="00A41002">
        <w:rPr>
          <w:lang w:val="es-ES"/>
        </w:rPr>
        <w:t xml:space="preserve">, </w:t>
      </w:r>
      <w:r w:rsidR="005429F6" w:rsidRPr="00A41002">
        <w:rPr>
          <w:lang w:val="es-ES"/>
        </w:rPr>
        <w:t xml:space="preserve">en aras de privilegiar su acceso efectivo a la justicia </w:t>
      </w:r>
      <w:r w:rsidR="003F6933" w:rsidRPr="00A41002">
        <w:rPr>
          <w:lang w:val="es-ES"/>
        </w:rPr>
        <w:t>y</w:t>
      </w:r>
      <w:r w:rsidR="00F54849" w:rsidRPr="00A41002">
        <w:rPr>
          <w:lang w:val="es-ES"/>
        </w:rPr>
        <w:t xml:space="preserve"> </w:t>
      </w:r>
      <w:r w:rsidR="005429F6" w:rsidRPr="00A41002">
        <w:rPr>
          <w:lang w:val="es-ES"/>
        </w:rPr>
        <w:t>tomando e</w:t>
      </w:r>
      <w:r w:rsidR="0054051C" w:rsidRPr="00A41002">
        <w:rPr>
          <w:lang w:val="es-ES"/>
        </w:rPr>
        <w:t xml:space="preserve">n consideración la jurisprudencia </w:t>
      </w:r>
      <w:r w:rsidR="0054051C" w:rsidRPr="00A41002">
        <w:rPr>
          <w:b/>
          <w:bCs/>
          <w:lang w:val="es-ES"/>
        </w:rPr>
        <w:t>8/2001</w:t>
      </w:r>
      <w:r w:rsidR="0054051C" w:rsidRPr="00A41002">
        <w:rPr>
          <w:lang w:val="es-ES"/>
        </w:rPr>
        <w:t xml:space="preserve"> </w:t>
      </w:r>
      <w:r w:rsidR="0054051C" w:rsidRPr="00A41002">
        <w:rPr>
          <w:lang w:val="es-ES"/>
        </w:rPr>
        <w:lastRenderedPageBreak/>
        <w:t xml:space="preserve">de rubro </w:t>
      </w:r>
      <w:r w:rsidR="0054051C" w:rsidRPr="00A41002">
        <w:rPr>
          <w:b/>
          <w:bCs/>
          <w:sz w:val="24"/>
          <w:szCs w:val="24"/>
          <w:lang w:val="es-ES"/>
        </w:rPr>
        <w:t>“CONOCIMIENTO DEL ACTO IMPUGNADO. SE CONSIDERA A PARTIR DE LA PRESENTACIÓN DE LA DEMANDA</w:t>
      </w:r>
      <w:r w:rsidR="009F5BF8" w:rsidRPr="00A41002">
        <w:rPr>
          <w:b/>
          <w:bCs/>
          <w:sz w:val="24"/>
          <w:szCs w:val="24"/>
          <w:lang w:val="es-ES"/>
        </w:rPr>
        <w:t>,</w:t>
      </w:r>
      <w:r w:rsidR="0054051C" w:rsidRPr="00A41002">
        <w:rPr>
          <w:b/>
          <w:bCs/>
          <w:sz w:val="24"/>
          <w:szCs w:val="24"/>
          <w:lang w:val="es-ES"/>
        </w:rPr>
        <w:t xml:space="preserve"> SALVO PRUEBA EN CONTRARIO”</w:t>
      </w:r>
      <w:r w:rsidR="0054051C" w:rsidRPr="00A41002">
        <w:rPr>
          <w:lang w:val="es-ES"/>
        </w:rPr>
        <w:t xml:space="preserve">, </w:t>
      </w:r>
      <w:r w:rsidR="00573456" w:rsidRPr="00A41002">
        <w:rPr>
          <w:lang w:val="es-ES"/>
        </w:rPr>
        <w:t>s</w:t>
      </w:r>
      <w:r w:rsidR="005429F6" w:rsidRPr="00A41002">
        <w:rPr>
          <w:lang w:val="es-ES"/>
        </w:rPr>
        <w:t xml:space="preserve">e </w:t>
      </w:r>
      <w:r w:rsidR="003F6933" w:rsidRPr="00A41002">
        <w:rPr>
          <w:lang w:val="es-ES"/>
        </w:rPr>
        <w:t>toma</w:t>
      </w:r>
      <w:r w:rsidR="008E47AE" w:rsidRPr="00A41002">
        <w:rPr>
          <w:lang w:val="es-ES"/>
        </w:rPr>
        <w:t xml:space="preserve"> </w:t>
      </w:r>
      <w:r w:rsidR="0054051C" w:rsidRPr="00A41002">
        <w:rPr>
          <w:lang w:val="es-ES"/>
        </w:rPr>
        <w:t>como fecha de conocimiento</w:t>
      </w:r>
      <w:r w:rsidR="005429F6" w:rsidRPr="00A41002">
        <w:rPr>
          <w:lang w:val="es-ES"/>
        </w:rPr>
        <w:t xml:space="preserve"> del acto reclamado</w:t>
      </w:r>
      <w:r w:rsidR="0054051C" w:rsidRPr="00A41002">
        <w:rPr>
          <w:lang w:val="es-ES"/>
        </w:rPr>
        <w:t xml:space="preserve"> la que indica el actor</w:t>
      </w:r>
      <w:r w:rsidR="009F5BF8" w:rsidRPr="00A41002">
        <w:rPr>
          <w:lang w:val="es-ES"/>
        </w:rPr>
        <w:t xml:space="preserve"> en su escrito de demanda</w:t>
      </w:r>
      <w:r w:rsidR="0054051C" w:rsidRPr="00A41002">
        <w:rPr>
          <w:lang w:val="es-ES"/>
        </w:rPr>
        <w:t xml:space="preserve">, esta es, </w:t>
      </w:r>
      <w:r w:rsidR="0054051C" w:rsidRPr="00A41002">
        <w:rPr>
          <w:bCs/>
          <w:lang w:val="es-ES"/>
        </w:rPr>
        <w:t xml:space="preserve">el </w:t>
      </w:r>
      <w:r w:rsidR="0054051C" w:rsidRPr="00A41002">
        <w:rPr>
          <w:b/>
          <w:lang w:val="es-ES"/>
        </w:rPr>
        <w:t>veintiuno de marzo del año en curso</w:t>
      </w:r>
      <w:r w:rsidR="0054051C" w:rsidRPr="00A41002">
        <w:rPr>
          <w:rStyle w:val="Refdenotaalpie"/>
          <w:rFonts w:eastAsiaTheme="majorEastAsia"/>
        </w:rPr>
        <w:footnoteReference w:id="18"/>
      </w:r>
      <w:r w:rsidR="0054051C" w:rsidRPr="00A41002">
        <w:t>.</w:t>
      </w:r>
    </w:p>
    <w:p w14:paraId="58F5447A" w14:textId="77961C5E" w:rsidR="008E47AE" w:rsidRPr="00A41002" w:rsidRDefault="005429F6" w:rsidP="00AE5D46">
      <w:pPr>
        <w:pStyle w:val="numerados"/>
        <w:ind w:left="0" w:hanging="1"/>
      </w:pPr>
      <w:r w:rsidRPr="00A41002">
        <w:rPr>
          <w:bCs/>
        </w:rPr>
        <w:t>En consecuencia</w:t>
      </w:r>
      <w:r w:rsidR="0054051C" w:rsidRPr="00A41002">
        <w:rPr>
          <w:bCs/>
        </w:rPr>
        <w:t>,</w:t>
      </w:r>
      <w:r w:rsidR="0054051C" w:rsidRPr="00A41002">
        <w:rPr>
          <w:b/>
        </w:rPr>
        <w:t xml:space="preserve"> </w:t>
      </w:r>
      <w:r w:rsidR="002A7BD1" w:rsidRPr="00A41002">
        <w:rPr>
          <w:bCs/>
        </w:rPr>
        <w:t>el plazo</w:t>
      </w:r>
      <w:r w:rsidR="002A7BD1" w:rsidRPr="00A41002">
        <w:rPr>
          <w:b/>
        </w:rPr>
        <w:t xml:space="preserve"> </w:t>
      </w:r>
      <w:r w:rsidR="008E47AE" w:rsidRPr="00A41002">
        <w:rPr>
          <w:lang w:val="es-ES"/>
        </w:rPr>
        <w:t xml:space="preserve">para impugnar transcurrió del </w:t>
      </w:r>
      <w:r w:rsidRPr="00A41002">
        <w:rPr>
          <w:lang w:val="es-ES"/>
        </w:rPr>
        <w:t>veintidós</w:t>
      </w:r>
      <w:r w:rsidR="00036BC1" w:rsidRPr="00A41002">
        <w:rPr>
          <w:lang w:val="es-ES"/>
        </w:rPr>
        <w:t xml:space="preserve"> al</w:t>
      </w:r>
      <w:r w:rsidR="008E47AE" w:rsidRPr="00A41002">
        <w:rPr>
          <w:lang w:val="es-ES"/>
        </w:rPr>
        <w:t xml:space="preserve"> </w:t>
      </w:r>
      <w:r w:rsidR="00061AC9" w:rsidRPr="00A41002">
        <w:rPr>
          <w:lang w:val="es-ES"/>
        </w:rPr>
        <w:t>veintic</w:t>
      </w:r>
      <w:r w:rsidRPr="00A41002">
        <w:rPr>
          <w:lang w:val="es-ES"/>
        </w:rPr>
        <w:t>inco</w:t>
      </w:r>
      <w:r w:rsidR="00061AC9" w:rsidRPr="00A41002">
        <w:rPr>
          <w:lang w:val="es-ES"/>
        </w:rPr>
        <w:t xml:space="preserve"> </w:t>
      </w:r>
      <w:r w:rsidR="008E47AE" w:rsidRPr="00A41002">
        <w:rPr>
          <w:lang w:val="es-ES"/>
        </w:rPr>
        <w:t>de marzo</w:t>
      </w:r>
      <w:r w:rsidRPr="00A41002">
        <w:rPr>
          <w:lang w:val="es-ES"/>
        </w:rPr>
        <w:t xml:space="preserve"> del presente año</w:t>
      </w:r>
      <w:r w:rsidR="00AE5D46" w:rsidRPr="00A41002">
        <w:rPr>
          <w:lang w:val="es-ES"/>
        </w:rPr>
        <w:t xml:space="preserve">, por lo que, </w:t>
      </w:r>
      <w:r w:rsidR="008E47AE" w:rsidRPr="00A41002">
        <w:rPr>
          <w:lang w:val="es-ES"/>
        </w:rPr>
        <w:t xml:space="preserve">si </w:t>
      </w:r>
      <w:r w:rsidRPr="00A41002">
        <w:rPr>
          <w:lang w:val="es-ES"/>
        </w:rPr>
        <w:t xml:space="preserve">el escrito de demanda fue presentado el veinticuatro de marzo, </w:t>
      </w:r>
      <w:r w:rsidR="003F6933" w:rsidRPr="00A41002">
        <w:rPr>
          <w:lang w:val="es-ES"/>
        </w:rPr>
        <w:t>resulta evidente su oportunidad</w:t>
      </w:r>
      <w:r w:rsidRPr="00A41002">
        <w:rPr>
          <w:lang w:val="es-ES"/>
        </w:rPr>
        <w:t>.</w:t>
      </w:r>
    </w:p>
    <w:p w14:paraId="5450E059" w14:textId="686028DA" w:rsidR="008E47AE" w:rsidRPr="00A41002" w:rsidRDefault="008E47AE" w:rsidP="008E47AE">
      <w:pPr>
        <w:pStyle w:val="numerados"/>
        <w:ind w:left="0" w:hanging="1"/>
        <w:rPr>
          <w:bCs/>
          <w:lang w:val="es-ES"/>
        </w:rPr>
      </w:pPr>
      <w:r w:rsidRPr="00A41002">
        <w:rPr>
          <w:b/>
          <w:lang w:val="es-ES"/>
        </w:rPr>
        <w:t xml:space="preserve">Legitimación e interés jurídico. </w:t>
      </w:r>
      <w:r w:rsidRPr="00A41002">
        <w:rPr>
          <w:lang w:val="es-419"/>
        </w:rPr>
        <w:t xml:space="preserve">En el presente juicio se cumplen los </w:t>
      </w:r>
      <w:r w:rsidRPr="00A41002">
        <w:t>presente</w:t>
      </w:r>
      <w:r w:rsidR="00E03164" w:rsidRPr="00A41002">
        <w:t>s</w:t>
      </w:r>
      <w:r w:rsidRPr="00A41002">
        <w:rPr>
          <w:lang w:val="es-419"/>
        </w:rPr>
        <w:t xml:space="preserve"> requisitos al ser</w:t>
      </w:r>
      <w:r w:rsidR="002E3B59" w:rsidRPr="00A41002">
        <w:rPr>
          <w:lang w:val="es-419"/>
        </w:rPr>
        <w:t xml:space="preserve"> un</w:t>
      </w:r>
      <w:r w:rsidRPr="00A41002">
        <w:rPr>
          <w:lang w:val="es-419"/>
        </w:rPr>
        <w:t xml:space="preserve"> ciudadan</w:t>
      </w:r>
      <w:r w:rsidR="002E3B59" w:rsidRPr="00A41002">
        <w:rPr>
          <w:lang w:val="es-419"/>
        </w:rPr>
        <w:t>o</w:t>
      </w:r>
      <w:r w:rsidRPr="00A41002">
        <w:rPr>
          <w:lang w:val="es-419"/>
        </w:rPr>
        <w:t xml:space="preserve"> por su propio derecho</w:t>
      </w:r>
      <w:r w:rsidR="0012592B" w:rsidRPr="00A41002">
        <w:rPr>
          <w:lang w:val="es-419"/>
        </w:rPr>
        <w:t xml:space="preserve"> quie</w:t>
      </w:r>
      <w:r w:rsidR="002E3B59" w:rsidRPr="00A41002">
        <w:rPr>
          <w:lang w:val="es-419"/>
        </w:rPr>
        <w:t>n</w:t>
      </w:r>
      <w:r w:rsidR="0012592B" w:rsidRPr="00A41002">
        <w:rPr>
          <w:lang w:val="es-419"/>
        </w:rPr>
        <w:t xml:space="preserve"> promueve el presente juicio</w:t>
      </w:r>
      <w:r w:rsidR="002E3B59" w:rsidRPr="00A41002">
        <w:rPr>
          <w:lang w:val="es-419"/>
        </w:rPr>
        <w:t xml:space="preserve"> y quien </w:t>
      </w:r>
      <w:r w:rsidR="002902DC" w:rsidRPr="00A41002">
        <w:rPr>
          <w:lang w:val="es-419"/>
        </w:rPr>
        <w:t>pretendió comparecer como tercerista</w:t>
      </w:r>
      <w:r w:rsidR="002E3B59" w:rsidRPr="00A41002">
        <w:rPr>
          <w:lang w:val="es-419"/>
        </w:rPr>
        <w:t xml:space="preserve"> </w:t>
      </w:r>
      <w:r w:rsidR="001E2EFA" w:rsidRPr="00A41002">
        <w:rPr>
          <w:lang w:val="es-419"/>
        </w:rPr>
        <w:t>ante el Tribunal</w:t>
      </w:r>
      <w:r w:rsidR="002902DC" w:rsidRPr="00A41002">
        <w:rPr>
          <w:lang w:val="es-419"/>
        </w:rPr>
        <w:t xml:space="preserve"> Electoral local, aunado a que</w:t>
      </w:r>
      <w:r w:rsidR="001E2EFA" w:rsidRPr="00A41002">
        <w:rPr>
          <w:lang w:val="es-419"/>
        </w:rPr>
        <w:t xml:space="preserve"> considera que la sentencia controvertida </w:t>
      </w:r>
      <w:proofErr w:type="gramStart"/>
      <w:r w:rsidR="001E2EFA" w:rsidRPr="00A41002">
        <w:rPr>
          <w:lang w:val="es-419"/>
        </w:rPr>
        <w:t>le</w:t>
      </w:r>
      <w:proofErr w:type="gramEnd"/>
      <w:r w:rsidR="001E2EFA" w:rsidRPr="00A41002">
        <w:rPr>
          <w:lang w:val="es-419"/>
        </w:rPr>
        <w:t xml:space="preserve"> genera una afectación a sus derechos</w:t>
      </w:r>
      <w:r w:rsidR="007016C7" w:rsidRPr="00A41002">
        <w:rPr>
          <w:lang w:val="es-419"/>
        </w:rPr>
        <w:t xml:space="preserve"> ya que esta revocó su designación al cargo público que fue electo</w:t>
      </w:r>
      <w:r w:rsidR="001E2EFA" w:rsidRPr="00A41002">
        <w:rPr>
          <w:lang w:val="es-419"/>
        </w:rPr>
        <w:t>.</w:t>
      </w:r>
    </w:p>
    <w:p w14:paraId="3DBBA2FB" w14:textId="77777777" w:rsidR="008E47AE" w:rsidRPr="00A41002" w:rsidRDefault="008E47AE" w:rsidP="008E47AE">
      <w:pPr>
        <w:pStyle w:val="numerados"/>
        <w:ind w:left="0" w:hanging="1"/>
      </w:pPr>
      <w:r w:rsidRPr="00A41002">
        <w:rPr>
          <w:b/>
          <w:bCs/>
          <w:lang w:val="es-ES"/>
        </w:rPr>
        <w:t>Definitividad y firmeza</w:t>
      </w:r>
      <w:r w:rsidRPr="00A41002">
        <w:rPr>
          <w:b/>
          <w:lang w:val="es-ES"/>
        </w:rPr>
        <w:t>.</w:t>
      </w:r>
      <w:r w:rsidRPr="00A41002">
        <w:rPr>
          <w:lang w:val="es-ES"/>
        </w:rPr>
        <w:t xml:space="preserve"> </w:t>
      </w:r>
      <w:bookmarkEnd w:id="47"/>
      <w:r w:rsidRPr="00A41002">
        <w:t>Se satisface el requisito ya que la sentencia impugnada del Tribunal local constituye un acto definitivo, por no preverse impugnación a desahogarse antes de acudir a esta instancia jurisdiccional federal por lo que la sentencia impugnada del Tribunal local es un acto definitivo.</w:t>
      </w:r>
    </w:p>
    <w:p w14:paraId="0FEF9567" w14:textId="767776BE" w:rsidR="00AF31C9" w:rsidRPr="00A41002" w:rsidRDefault="004F3481" w:rsidP="00AF31C9">
      <w:pPr>
        <w:pStyle w:val="Ttulo2"/>
        <w:spacing w:after="240"/>
        <w:rPr>
          <w:rFonts w:ascii="Univers" w:hAnsi="Univers"/>
          <w:b/>
          <w:bCs/>
          <w:color w:val="auto"/>
          <w:sz w:val="28"/>
          <w:szCs w:val="28"/>
        </w:rPr>
      </w:pPr>
      <w:bookmarkStart w:id="50" w:name="_Toc135995578"/>
      <w:bookmarkStart w:id="51" w:name="_Toc198028407"/>
      <w:r w:rsidRPr="00A41002">
        <w:rPr>
          <w:rFonts w:ascii="Univers" w:hAnsi="Univers"/>
          <w:b/>
          <w:bCs/>
          <w:color w:val="auto"/>
          <w:sz w:val="28"/>
          <w:szCs w:val="28"/>
        </w:rPr>
        <w:t>SEXTO</w:t>
      </w:r>
      <w:r w:rsidR="00AF31C9" w:rsidRPr="00A41002">
        <w:rPr>
          <w:rFonts w:ascii="Univers" w:hAnsi="Univers"/>
          <w:b/>
          <w:bCs/>
          <w:color w:val="auto"/>
          <w:sz w:val="28"/>
          <w:szCs w:val="28"/>
        </w:rPr>
        <w:t>. Estudio de fondo</w:t>
      </w:r>
      <w:bookmarkEnd w:id="1"/>
      <w:bookmarkEnd w:id="50"/>
      <w:bookmarkEnd w:id="51"/>
    </w:p>
    <w:p w14:paraId="1AEA55C2" w14:textId="77777777" w:rsidR="006E6853" w:rsidRPr="00A41002" w:rsidRDefault="006E6853" w:rsidP="00EA166C">
      <w:pPr>
        <w:pStyle w:val="numerados"/>
        <w:numPr>
          <w:ilvl w:val="0"/>
          <w:numId w:val="3"/>
        </w:numPr>
        <w:rPr>
          <w:b/>
          <w:bCs/>
        </w:rPr>
      </w:pPr>
      <w:r w:rsidRPr="00A41002">
        <w:rPr>
          <w:b/>
          <w:bCs/>
        </w:rPr>
        <w:t xml:space="preserve">Pretensión, temas de agravio y metodología </w:t>
      </w:r>
    </w:p>
    <w:p w14:paraId="1FDF645E" w14:textId="565B3B05" w:rsidR="007E434D" w:rsidRPr="00A41002" w:rsidRDefault="00AC205A" w:rsidP="009567A0">
      <w:pPr>
        <w:pStyle w:val="numerados"/>
        <w:ind w:left="0" w:hanging="1"/>
        <w:rPr>
          <w:lang w:val="es-419"/>
        </w:rPr>
      </w:pPr>
      <w:r w:rsidRPr="00A41002">
        <w:rPr>
          <w:lang w:val="es-419"/>
        </w:rPr>
        <w:lastRenderedPageBreak/>
        <w:t xml:space="preserve">La pretensión de la parte actora es que se revoque la sentencia impugnada </w:t>
      </w:r>
      <w:r w:rsidR="0047450D" w:rsidRPr="00A41002">
        <w:rPr>
          <w:lang w:val="es-419"/>
        </w:rPr>
        <w:t>que declaró la nulidad de la elección</w:t>
      </w:r>
      <w:r w:rsidR="0083169C" w:rsidRPr="00A41002">
        <w:rPr>
          <w:lang w:val="es-419"/>
        </w:rPr>
        <w:t xml:space="preserve"> de la comisaría municipal de </w:t>
      </w:r>
      <w:proofErr w:type="spellStart"/>
      <w:r w:rsidR="0083169C" w:rsidRPr="00A41002">
        <w:rPr>
          <w:lang w:val="es-419"/>
        </w:rPr>
        <w:t>Xcumpich</w:t>
      </w:r>
      <w:proofErr w:type="spellEnd"/>
      <w:r w:rsidR="006E541E" w:rsidRPr="00A41002">
        <w:rPr>
          <w:lang w:val="es-419"/>
        </w:rPr>
        <w:t xml:space="preserve">, Mérida, Yucatán </w:t>
      </w:r>
      <w:r w:rsidR="00576A98" w:rsidRPr="00A41002">
        <w:rPr>
          <w:lang w:val="es-419"/>
        </w:rPr>
        <w:t>y,</w:t>
      </w:r>
      <w:r w:rsidR="0058476B" w:rsidRPr="00A41002">
        <w:rPr>
          <w:lang w:val="es-419"/>
        </w:rPr>
        <w:t xml:space="preserve"> en consecuencia, se ordene </w:t>
      </w:r>
      <w:r w:rsidR="004B521E" w:rsidRPr="00A41002">
        <w:rPr>
          <w:lang w:val="es-419"/>
        </w:rPr>
        <w:t>la recalificación de</w:t>
      </w:r>
      <w:r w:rsidR="00917E78" w:rsidRPr="00A41002">
        <w:rPr>
          <w:lang w:val="es-419"/>
        </w:rPr>
        <w:t xml:space="preserve"> los seis votos originalmente calificados como nulos</w:t>
      </w:r>
      <w:r w:rsidR="004B521E" w:rsidRPr="00A41002">
        <w:rPr>
          <w:lang w:val="es-419"/>
        </w:rPr>
        <w:t xml:space="preserve"> por ser lo</w:t>
      </w:r>
      <w:r w:rsidR="00A33FF0" w:rsidRPr="00A41002">
        <w:rPr>
          <w:lang w:val="es-419"/>
        </w:rPr>
        <w:t>s que produjeron el desempate en la elección.</w:t>
      </w:r>
    </w:p>
    <w:p w14:paraId="3BBC863E" w14:textId="77777777" w:rsidR="0045217C" w:rsidRPr="00A41002" w:rsidRDefault="0045217C" w:rsidP="0045217C">
      <w:pPr>
        <w:pStyle w:val="numerados"/>
        <w:ind w:left="0" w:hanging="1"/>
      </w:pPr>
      <w:r w:rsidRPr="00A41002">
        <w:rPr>
          <w:lang w:val="es-419"/>
        </w:rPr>
        <w:t>Al respecto, hace valer los siguientes</w:t>
      </w:r>
      <w:r w:rsidRPr="00A41002">
        <w:t xml:space="preserve"> temas de agravio:</w:t>
      </w:r>
    </w:p>
    <w:p w14:paraId="14BE1468" w14:textId="77777777" w:rsidR="00BF3178" w:rsidRPr="00A41002" w:rsidRDefault="003768CA" w:rsidP="00EA166C">
      <w:pPr>
        <w:pStyle w:val="numerados"/>
        <w:numPr>
          <w:ilvl w:val="0"/>
          <w:numId w:val="7"/>
        </w:numPr>
        <w:rPr>
          <w:b/>
          <w:bCs/>
        </w:rPr>
      </w:pPr>
      <w:r w:rsidRPr="00A41002">
        <w:rPr>
          <w:b/>
          <w:bCs/>
        </w:rPr>
        <w:t>Vulneración al principio de conservación de los actos públicos válidamente celebrados</w:t>
      </w:r>
      <w:r w:rsidR="00BF3178" w:rsidRPr="00A41002">
        <w:rPr>
          <w:b/>
          <w:bCs/>
        </w:rPr>
        <w:t xml:space="preserve"> </w:t>
      </w:r>
    </w:p>
    <w:p w14:paraId="382EA422" w14:textId="7FF9254B" w:rsidR="0045217C" w:rsidRPr="00A41002" w:rsidRDefault="00BF3178" w:rsidP="00EA166C">
      <w:pPr>
        <w:pStyle w:val="numerados"/>
        <w:numPr>
          <w:ilvl w:val="0"/>
          <w:numId w:val="7"/>
        </w:numPr>
        <w:rPr>
          <w:b/>
          <w:bCs/>
        </w:rPr>
      </w:pPr>
      <w:r w:rsidRPr="00A41002">
        <w:rPr>
          <w:b/>
          <w:bCs/>
        </w:rPr>
        <w:t>Indebido estudio sobre la presencia de representaciones de las candidaturas en el recuento de votos</w:t>
      </w:r>
    </w:p>
    <w:p w14:paraId="50C73FC2" w14:textId="1EB2D83D" w:rsidR="003768CA" w:rsidRPr="00A41002" w:rsidRDefault="003768CA" w:rsidP="00EA166C">
      <w:pPr>
        <w:pStyle w:val="numerados"/>
        <w:numPr>
          <w:ilvl w:val="0"/>
          <w:numId w:val="7"/>
        </w:numPr>
        <w:rPr>
          <w:b/>
          <w:bCs/>
        </w:rPr>
      </w:pPr>
      <w:r w:rsidRPr="00A41002">
        <w:rPr>
          <w:b/>
          <w:bCs/>
        </w:rPr>
        <w:t xml:space="preserve">Indebida </w:t>
      </w:r>
      <w:r w:rsidR="00F406DC" w:rsidRPr="00A41002">
        <w:rPr>
          <w:b/>
          <w:bCs/>
        </w:rPr>
        <w:t>declaración de nulidad de la elección</w:t>
      </w:r>
    </w:p>
    <w:p w14:paraId="5B35D86C" w14:textId="14401EC6" w:rsidR="0045217C" w:rsidRPr="00A41002" w:rsidRDefault="00ED0859" w:rsidP="009567A0">
      <w:pPr>
        <w:pStyle w:val="numerados"/>
        <w:ind w:left="0" w:hanging="1"/>
        <w:rPr>
          <w:lang w:val="es-419"/>
        </w:rPr>
      </w:pPr>
      <w:r w:rsidRPr="00A41002">
        <w:t>Por cuestión de método</w:t>
      </w:r>
      <w:r w:rsidR="00D83E72" w:rsidRPr="00A41002">
        <w:t>, en el presente asunto se</w:t>
      </w:r>
      <w:r w:rsidR="00E207B5" w:rsidRPr="00A41002">
        <w:t xml:space="preserve"> estudiará </w:t>
      </w:r>
      <w:r w:rsidR="00E207B5" w:rsidRPr="00A41002">
        <w:rPr>
          <w:b/>
          <w:bCs/>
        </w:rPr>
        <w:t>la pretensión del actor</w:t>
      </w:r>
      <w:r w:rsidR="00E207B5" w:rsidRPr="00A41002">
        <w:t>, en atención a que todos</w:t>
      </w:r>
      <w:r w:rsidRPr="00A41002">
        <w:t xml:space="preserve"> los </w:t>
      </w:r>
      <w:r w:rsidR="00E207B5" w:rsidRPr="00A41002">
        <w:t>planteamientos del promovente</w:t>
      </w:r>
      <w:r w:rsidRPr="00A41002">
        <w:t xml:space="preserve"> se encuentran encaminados a demostrar </w:t>
      </w:r>
      <w:r w:rsidR="0091420A" w:rsidRPr="00A41002">
        <w:t>que el Tribunal Electoral local</w:t>
      </w:r>
      <w:r w:rsidR="00C62EAD" w:rsidRPr="00A41002">
        <w:t>, previ</w:t>
      </w:r>
      <w:r w:rsidR="00576A98" w:rsidRPr="00A41002">
        <w:t>o</w:t>
      </w:r>
      <w:r w:rsidR="00C62EAD" w:rsidRPr="00A41002">
        <w:t xml:space="preserve"> a determinar la nulidad de la elección,</w:t>
      </w:r>
      <w:r w:rsidR="0091420A" w:rsidRPr="00A41002">
        <w:t xml:space="preserve"> debió </w:t>
      </w:r>
      <w:r w:rsidR="002837AD" w:rsidRPr="00A41002">
        <w:t xml:space="preserve">considerar </w:t>
      </w:r>
      <w:r w:rsidR="006E51B9" w:rsidRPr="00A41002">
        <w:t xml:space="preserve">diversas </w:t>
      </w:r>
      <w:r w:rsidR="00C62EAD" w:rsidRPr="00A41002">
        <w:t xml:space="preserve">soluciones </w:t>
      </w:r>
      <w:r w:rsidR="00430D84" w:rsidRPr="00A41002">
        <w:t>para resolver la controversia planteada</w:t>
      </w:r>
      <w:r w:rsidR="006E51B9" w:rsidRPr="00A41002">
        <w:t xml:space="preserve"> y, en consecuencia, considera que para subsanar la vulneración al principio de certeza se deben</w:t>
      </w:r>
      <w:r w:rsidR="00D3357B" w:rsidRPr="00A41002">
        <w:t xml:space="preserve"> recalificar los seis votos nulos,</w:t>
      </w:r>
      <w:r w:rsidRPr="00A41002">
        <w:t xml:space="preserve"> sin que lo anterior depare perjuicio alguno a la parte actora, ya que lo relevante no es el orden de estudio, sino que se analice la totalidad de sus argumentos. </w:t>
      </w:r>
      <w:r w:rsidRPr="00A41002">
        <w:rPr>
          <w:bCs/>
          <w:iCs/>
        </w:rPr>
        <w:t xml:space="preserve">Sirve de sustento la jurisprudencia 04/2000, de </w:t>
      </w:r>
      <w:r w:rsidRPr="00A41002">
        <w:rPr>
          <w:bCs/>
          <w:iCs/>
        </w:rPr>
        <w:lastRenderedPageBreak/>
        <w:t>rubro “</w:t>
      </w:r>
      <w:r w:rsidRPr="00A41002">
        <w:rPr>
          <w:b/>
          <w:bCs/>
          <w:iCs/>
        </w:rPr>
        <w:t>AGRAVIOS, SU EXAMEN EN CONJUNTO O SEPARADO, NO CAUSA LESIÓN</w:t>
      </w:r>
      <w:r w:rsidRPr="00A41002">
        <w:rPr>
          <w:bCs/>
          <w:iCs/>
        </w:rPr>
        <w:t>”</w:t>
      </w:r>
      <w:r w:rsidRPr="00A41002">
        <w:rPr>
          <w:bCs/>
          <w:iCs/>
          <w:vertAlign w:val="superscript"/>
        </w:rPr>
        <w:t xml:space="preserve"> </w:t>
      </w:r>
      <w:r w:rsidRPr="00A41002">
        <w:rPr>
          <w:bCs/>
          <w:iCs/>
          <w:vertAlign w:val="superscript"/>
        </w:rPr>
        <w:footnoteReference w:id="19"/>
      </w:r>
      <w:r w:rsidRPr="00A41002">
        <w:rPr>
          <w:bCs/>
          <w:iCs/>
        </w:rPr>
        <w:t>.</w:t>
      </w:r>
    </w:p>
    <w:p w14:paraId="007621A3" w14:textId="77777777" w:rsidR="00EB3E6F" w:rsidRPr="00A41002" w:rsidRDefault="00EB3E6F" w:rsidP="00EA166C">
      <w:pPr>
        <w:pStyle w:val="numerados"/>
        <w:numPr>
          <w:ilvl w:val="0"/>
          <w:numId w:val="3"/>
        </w:numPr>
        <w:rPr>
          <w:b/>
          <w:bCs/>
        </w:rPr>
      </w:pPr>
      <w:r w:rsidRPr="00A41002">
        <w:rPr>
          <w:b/>
          <w:bCs/>
        </w:rPr>
        <w:t>Consideraciones del Tribunal Electoral local</w:t>
      </w:r>
    </w:p>
    <w:p w14:paraId="6BF76C7B" w14:textId="11C0F001" w:rsidR="006356FC" w:rsidRPr="00A41002" w:rsidRDefault="00EB3E6F" w:rsidP="00EB3E6F">
      <w:pPr>
        <w:pStyle w:val="numerados"/>
        <w:ind w:left="0" w:hanging="1"/>
        <w:rPr>
          <w:bCs/>
          <w:iCs/>
        </w:rPr>
      </w:pPr>
      <w:r w:rsidRPr="00A41002">
        <w:rPr>
          <w:bCs/>
          <w:iCs/>
        </w:rPr>
        <w:t>De la sentencia impugnada se observa que el TEEY</w:t>
      </w:r>
      <w:r w:rsidR="006356FC" w:rsidRPr="00A41002">
        <w:rPr>
          <w:bCs/>
          <w:iCs/>
        </w:rPr>
        <w:t xml:space="preserve">, en primer término, expuso los agravios planteados por la parte actora ante esa instancia, señalando que, en síntesis, la promovente argumentaba </w:t>
      </w:r>
      <w:r w:rsidR="00B40DE8" w:rsidRPr="00A41002">
        <w:rPr>
          <w:bCs/>
          <w:iCs/>
        </w:rPr>
        <w:t>que la figura del</w:t>
      </w:r>
      <w:r w:rsidR="00784BD4" w:rsidRPr="00A41002">
        <w:rPr>
          <w:bCs/>
          <w:iCs/>
        </w:rPr>
        <w:t xml:space="preserve"> recuento</w:t>
      </w:r>
      <w:r w:rsidR="00B40DE8" w:rsidRPr="00A41002">
        <w:rPr>
          <w:bCs/>
          <w:iCs/>
        </w:rPr>
        <w:t xml:space="preserve"> total no existía en el </w:t>
      </w:r>
      <w:r w:rsidR="00714491" w:rsidRPr="00A41002">
        <w:t>Reglamento de Elección de Autoridades Auxiliares del Ayuntamiento del Municipio de Mérida, por lo que dicho acto administrativo era violatorio de derechos político</w:t>
      </w:r>
      <w:r w:rsidR="00CF1AA3" w:rsidRPr="00A41002">
        <w:t>-</w:t>
      </w:r>
      <w:r w:rsidR="00714491" w:rsidRPr="00A41002">
        <w:t>electorales</w:t>
      </w:r>
      <w:r w:rsidR="00A91B17" w:rsidRPr="00A41002">
        <w:t xml:space="preserve"> y que se habían v</w:t>
      </w:r>
      <w:r w:rsidR="00784BD4" w:rsidRPr="00A41002">
        <w:t xml:space="preserve">ulnerado los principios rectores en </w:t>
      </w:r>
      <w:r w:rsidR="0077052B" w:rsidRPr="00A41002">
        <w:t>materia electoral</w:t>
      </w:r>
      <w:r w:rsidR="00B93C53" w:rsidRPr="00A41002">
        <w:t xml:space="preserve"> al no encontrarse presentes durante el referido recuento las representaciones de las candidaturas</w:t>
      </w:r>
      <w:r w:rsidR="00714491" w:rsidRPr="00A41002">
        <w:t>.</w:t>
      </w:r>
    </w:p>
    <w:p w14:paraId="4EF52722" w14:textId="7DEA141A" w:rsidR="00EB3E6F" w:rsidRPr="00A41002" w:rsidRDefault="00B93C53" w:rsidP="00EB3E6F">
      <w:pPr>
        <w:pStyle w:val="numerados"/>
        <w:ind w:left="0" w:hanging="1"/>
        <w:rPr>
          <w:bCs/>
          <w:iCs/>
        </w:rPr>
      </w:pPr>
      <w:r w:rsidRPr="00A41002">
        <w:rPr>
          <w:bCs/>
          <w:iCs/>
        </w:rPr>
        <w:t>Al respecto, el TEEY</w:t>
      </w:r>
      <w:r w:rsidR="004A2A2B" w:rsidRPr="00A41002">
        <w:rPr>
          <w:bCs/>
          <w:iCs/>
        </w:rPr>
        <w:t>, expuso el marco normativo aplicable y</w:t>
      </w:r>
      <w:r w:rsidRPr="00A41002">
        <w:rPr>
          <w:bCs/>
          <w:iCs/>
        </w:rPr>
        <w:t xml:space="preserve"> calificó como</w:t>
      </w:r>
      <w:r w:rsidR="00EB3E6F" w:rsidRPr="00A41002">
        <w:rPr>
          <w:bCs/>
          <w:iCs/>
        </w:rPr>
        <w:t xml:space="preserve"> fundados los agravios de la parte actora, </w:t>
      </w:r>
      <w:r w:rsidR="00B44C70" w:rsidRPr="00A41002">
        <w:rPr>
          <w:bCs/>
          <w:iCs/>
        </w:rPr>
        <w:t>debido a</w:t>
      </w:r>
      <w:r w:rsidR="00EB3E6F" w:rsidRPr="00A41002">
        <w:rPr>
          <w:bCs/>
          <w:iCs/>
        </w:rPr>
        <w:t xml:space="preserve"> que no se garantizó la presencia de las representaciones de las candidaturas que obtuvieron el primero y segundo lugar.</w:t>
      </w:r>
    </w:p>
    <w:p w14:paraId="2DEB10AE" w14:textId="77777777" w:rsidR="00EB3E6F" w:rsidRPr="00A41002" w:rsidRDefault="00EB3E6F" w:rsidP="00EB3E6F">
      <w:pPr>
        <w:pStyle w:val="numerados"/>
        <w:ind w:left="0" w:hanging="1"/>
        <w:rPr>
          <w:bCs/>
          <w:iCs/>
        </w:rPr>
      </w:pPr>
      <w:r w:rsidRPr="00A41002">
        <w:rPr>
          <w:bCs/>
          <w:iCs/>
        </w:rPr>
        <w:t>Consideró que tal circunstancia vició el resultado de la elección de autoridades auxiliares, al trastocarse el debido proceso de recuento de la votación, en el que debía privilegiarse el principio de certeza.</w:t>
      </w:r>
    </w:p>
    <w:p w14:paraId="2DEBB389" w14:textId="495C0BA8" w:rsidR="00EB3E6F" w:rsidRPr="00A41002" w:rsidRDefault="00EB3E6F" w:rsidP="00EB3E6F">
      <w:pPr>
        <w:pStyle w:val="numerados"/>
        <w:ind w:left="0" w:hanging="1"/>
        <w:rPr>
          <w:bCs/>
          <w:iCs/>
        </w:rPr>
      </w:pPr>
      <w:r w:rsidRPr="00A41002">
        <w:rPr>
          <w:bCs/>
          <w:iCs/>
        </w:rPr>
        <w:t>Asimismo, refirió que aun cuando las autoridades auxiliares funda</w:t>
      </w:r>
      <w:r w:rsidR="0012268D" w:rsidRPr="00A41002">
        <w:rPr>
          <w:bCs/>
          <w:iCs/>
        </w:rPr>
        <w:t>menta</w:t>
      </w:r>
      <w:r w:rsidRPr="00A41002">
        <w:rPr>
          <w:bCs/>
          <w:iCs/>
        </w:rPr>
        <w:t xml:space="preserve">ron su actuar en lo previsto por los artículos 62 y 64 </w:t>
      </w:r>
      <w:r w:rsidRPr="00A41002">
        <w:rPr>
          <w:bCs/>
          <w:iCs/>
        </w:rPr>
        <w:lastRenderedPageBreak/>
        <w:t xml:space="preserve">del Reglamento para la Elección referida y, de manera supletoria, lo previsto por el diverso numeral 310, fracción I y II de la </w:t>
      </w:r>
      <w:r w:rsidR="007D46F1" w:rsidRPr="00A41002">
        <w:rPr>
          <w:bCs/>
          <w:iCs/>
        </w:rPr>
        <w:t>Ley de Instituciones y Procedimientos Electorales del Estado de Yucatán</w:t>
      </w:r>
      <w:r w:rsidRPr="00A41002">
        <w:rPr>
          <w:bCs/>
          <w:iCs/>
        </w:rPr>
        <w:t>, lo cierto es que no se tuteló el debido proceso de recuento de votos.</w:t>
      </w:r>
    </w:p>
    <w:p w14:paraId="46535DD2" w14:textId="4C7A47AA" w:rsidR="00EB3E6F" w:rsidRPr="00A41002" w:rsidRDefault="00EB3E6F" w:rsidP="00EB3E6F">
      <w:pPr>
        <w:pStyle w:val="numerados"/>
        <w:ind w:left="0" w:hanging="1"/>
        <w:rPr>
          <w:bCs/>
          <w:iCs/>
        </w:rPr>
      </w:pPr>
      <w:r w:rsidRPr="00A41002">
        <w:rPr>
          <w:bCs/>
          <w:iCs/>
        </w:rPr>
        <w:t xml:space="preserve">Lo anterior ya que, si bien el reglamento referido no prevé la figura de representaciones ante el Consejo </w:t>
      </w:r>
      <w:r w:rsidR="008A260D" w:rsidRPr="00A41002">
        <w:rPr>
          <w:bCs/>
          <w:iCs/>
        </w:rPr>
        <w:t>Electoral</w:t>
      </w:r>
      <w:r w:rsidRPr="00A41002">
        <w:rPr>
          <w:bCs/>
          <w:iCs/>
        </w:rPr>
        <w:t>, señaló que los casos donde amerite recuento total de votos o nuevo escrutinio se debe tutelar el debido proceso de recuento de votos a fin de garantizar el principio de certeza.</w:t>
      </w:r>
    </w:p>
    <w:p w14:paraId="07430CF8" w14:textId="0954DA5E" w:rsidR="00EB3E6F" w:rsidRPr="00A41002" w:rsidRDefault="00EB3E6F" w:rsidP="00EB3E6F">
      <w:pPr>
        <w:pStyle w:val="numerados"/>
        <w:ind w:left="0" w:hanging="1"/>
        <w:rPr>
          <w:bCs/>
          <w:iCs/>
        </w:rPr>
      </w:pPr>
      <w:r w:rsidRPr="00A41002">
        <w:rPr>
          <w:bCs/>
          <w:iCs/>
        </w:rPr>
        <w:t xml:space="preserve">Por lo anterior, señaló que le asistió la razón a la actora pues del análisis al nuevo escrutinio y </w:t>
      </w:r>
      <w:r w:rsidR="008823A3" w:rsidRPr="00A41002">
        <w:rPr>
          <w:bCs/>
          <w:iCs/>
        </w:rPr>
        <w:t>cómputo</w:t>
      </w:r>
      <w:r w:rsidRPr="00A41002">
        <w:rPr>
          <w:bCs/>
          <w:iCs/>
        </w:rPr>
        <w:t xml:space="preserve"> en la sede del </w:t>
      </w:r>
      <w:r w:rsidR="008A73AF" w:rsidRPr="00A41002">
        <w:rPr>
          <w:bCs/>
          <w:iCs/>
        </w:rPr>
        <w:t>C</w:t>
      </w:r>
      <w:r w:rsidRPr="00A41002">
        <w:rPr>
          <w:bCs/>
          <w:iCs/>
        </w:rPr>
        <w:t xml:space="preserve">onsejo </w:t>
      </w:r>
      <w:r w:rsidR="008A73AF" w:rsidRPr="00A41002">
        <w:rPr>
          <w:bCs/>
          <w:iCs/>
        </w:rPr>
        <w:t>Electoral</w:t>
      </w:r>
      <w:r w:rsidRPr="00A41002">
        <w:rPr>
          <w:bCs/>
          <w:iCs/>
        </w:rPr>
        <w:t xml:space="preserve">, no se previó la presencia de representantes de las candidaturas, situación que permitió observar que se dejó de aplicar </w:t>
      </w:r>
      <w:r w:rsidR="00026DF4" w:rsidRPr="00A41002">
        <w:rPr>
          <w:bCs/>
          <w:iCs/>
        </w:rPr>
        <w:t xml:space="preserve">correctamente </w:t>
      </w:r>
      <w:r w:rsidRPr="00A41002">
        <w:rPr>
          <w:bCs/>
          <w:iCs/>
        </w:rPr>
        <w:t>de manera supletoria la ley electoral local.</w:t>
      </w:r>
    </w:p>
    <w:p w14:paraId="32554B1B" w14:textId="77777777" w:rsidR="00EB3E6F" w:rsidRPr="00A41002" w:rsidRDefault="00EB3E6F" w:rsidP="00EB3E6F">
      <w:pPr>
        <w:pStyle w:val="numerados"/>
        <w:ind w:left="0" w:hanging="1"/>
        <w:rPr>
          <w:bCs/>
          <w:iCs/>
        </w:rPr>
      </w:pPr>
      <w:r w:rsidRPr="00A41002">
        <w:rPr>
          <w:bCs/>
          <w:iCs/>
        </w:rPr>
        <w:t>Así, consideró que la falta de representantes de los candidatos constituyó un vicio de origen que se contrapuso con el debido proceso de recuento de votación.</w:t>
      </w:r>
    </w:p>
    <w:p w14:paraId="0D2F0974" w14:textId="77777777" w:rsidR="00EB3E6F" w:rsidRPr="00A41002" w:rsidRDefault="00EB3E6F" w:rsidP="00EB3E6F">
      <w:pPr>
        <w:pStyle w:val="numerados"/>
        <w:ind w:left="0" w:hanging="1"/>
        <w:rPr>
          <w:bCs/>
          <w:iCs/>
        </w:rPr>
      </w:pPr>
      <w:r w:rsidRPr="00A41002">
        <w:rPr>
          <w:bCs/>
          <w:iCs/>
        </w:rPr>
        <w:t xml:space="preserve">En ese contexto, determinó que el recuento total de la votación de la elección de autoridades auxiliares de </w:t>
      </w:r>
      <w:proofErr w:type="spellStart"/>
      <w:r w:rsidRPr="00A41002">
        <w:rPr>
          <w:bCs/>
          <w:iCs/>
        </w:rPr>
        <w:t>Xcumpich</w:t>
      </w:r>
      <w:proofErr w:type="spellEnd"/>
      <w:r w:rsidRPr="00A41002">
        <w:rPr>
          <w:bCs/>
          <w:iCs/>
        </w:rPr>
        <w:t>, sin la presencia de algún representante de las candidaturas que obtuvieron el primero y segundo lugar, violó el principio de certeza, generando una afectación directa al debido proceso de recuento.</w:t>
      </w:r>
    </w:p>
    <w:p w14:paraId="608A54EC" w14:textId="7BC2D3A9" w:rsidR="00EB3E6F" w:rsidRPr="00A41002" w:rsidRDefault="00EB3E6F" w:rsidP="00EB3E6F">
      <w:pPr>
        <w:pStyle w:val="numerados"/>
        <w:ind w:left="0" w:hanging="1"/>
        <w:rPr>
          <w:bCs/>
          <w:iCs/>
        </w:rPr>
      </w:pPr>
      <w:r w:rsidRPr="00A41002">
        <w:rPr>
          <w:bCs/>
          <w:iCs/>
        </w:rPr>
        <w:lastRenderedPageBreak/>
        <w:t xml:space="preserve">Lo anterior, ya que las candidaturas no tuvieron certeza sobre la forma en que se interpretaron los seis votos nulos que obraban en el paquete, de los cuales, a la postre, se calificaron tres como válidos, mismos que se distribuyeron dos a favor </w:t>
      </w:r>
      <w:proofErr w:type="spellStart"/>
      <w:r w:rsidRPr="00A41002">
        <w:rPr>
          <w:bCs/>
          <w:iCs/>
        </w:rPr>
        <w:t>Rusell</w:t>
      </w:r>
      <w:proofErr w:type="spellEnd"/>
      <w:r w:rsidRPr="00A41002">
        <w:rPr>
          <w:bCs/>
          <w:iCs/>
        </w:rPr>
        <w:t xml:space="preserve"> Alejandro Borges Santos y uno a </w:t>
      </w:r>
      <w:r w:rsidR="00490DDF" w:rsidRPr="00A41002">
        <w:rPr>
          <w:bCs/>
          <w:iCs/>
        </w:rPr>
        <w:t xml:space="preserve">favor de </w:t>
      </w:r>
      <w:r w:rsidRPr="00A41002">
        <w:rPr>
          <w:bCs/>
          <w:iCs/>
        </w:rPr>
        <w:t xml:space="preserve">Gabina del Rosario Mex </w:t>
      </w:r>
      <w:r w:rsidR="006A5D2C" w:rsidRPr="00A41002">
        <w:rPr>
          <w:bCs/>
          <w:iCs/>
        </w:rPr>
        <w:t>V</w:t>
      </w:r>
      <w:r w:rsidRPr="00A41002">
        <w:rPr>
          <w:bCs/>
          <w:iCs/>
        </w:rPr>
        <w:t>ivas</w:t>
      </w:r>
    </w:p>
    <w:p w14:paraId="35E8BAE6" w14:textId="1DAD72EB" w:rsidR="00EB3E6F" w:rsidRPr="00A41002" w:rsidRDefault="00EB3E6F" w:rsidP="00EB3E6F">
      <w:pPr>
        <w:pStyle w:val="numerados"/>
        <w:ind w:left="0" w:hanging="1"/>
        <w:rPr>
          <w:bCs/>
          <w:iCs/>
        </w:rPr>
      </w:pPr>
      <w:r w:rsidRPr="00A41002">
        <w:rPr>
          <w:bCs/>
          <w:iCs/>
        </w:rPr>
        <w:t xml:space="preserve">Asimismo, señaló que el Consejo </w:t>
      </w:r>
      <w:r w:rsidR="00490DDF" w:rsidRPr="00A41002">
        <w:rPr>
          <w:bCs/>
          <w:iCs/>
        </w:rPr>
        <w:t>Electoral</w:t>
      </w:r>
      <w:r w:rsidRPr="00A41002">
        <w:rPr>
          <w:bCs/>
          <w:iCs/>
        </w:rPr>
        <w:t xml:space="preserve"> no pormenorizó en el acta de la sesión permanente las características de los votos nulos ni los parámetros que sirvieron para considerar la validez de tres votos, frente a los que permanecieron como nulos, ni se advirtió constancia alguna en la que se pudiera conocer los criterios jurídicos o parámetros utilizados para calificar la validez de dichos votos.</w:t>
      </w:r>
    </w:p>
    <w:p w14:paraId="3C56E93D" w14:textId="77777777" w:rsidR="00EB3E6F" w:rsidRPr="00A41002" w:rsidRDefault="00EB3E6F" w:rsidP="00EB3E6F">
      <w:pPr>
        <w:pStyle w:val="numerados"/>
        <w:ind w:left="0" w:hanging="1"/>
        <w:rPr>
          <w:bCs/>
          <w:iCs/>
        </w:rPr>
      </w:pPr>
      <w:r w:rsidRPr="00A41002">
        <w:rPr>
          <w:bCs/>
          <w:iCs/>
        </w:rPr>
        <w:t>En consecuencia, consideró que el vicio en el que incurrió la responsable resultó determinante para la elección.</w:t>
      </w:r>
    </w:p>
    <w:p w14:paraId="22A71FA7" w14:textId="019ABD37" w:rsidR="00EB3E6F" w:rsidRPr="00A41002" w:rsidRDefault="00EB3E6F" w:rsidP="001159AC">
      <w:pPr>
        <w:pStyle w:val="numerados"/>
        <w:ind w:left="0" w:hanging="1"/>
        <w:rPr>
          <w:bCs/>
          <w:iCs/>
        </w:rPr>
      </w:pPr>
      <w:r w:rsidRPr="00A41002">
        <w:rPr>
          <w:bCs/>
          <w:iCs/>
        </w:rPr>
        <w:t xml:space="preserve">Por todo lo anterior, al </w:t>
      </w:r>
      <w:r w:rsidR="001159AC" w:rsidRPr="00A41002">
        <w:rPr>
          <w:bCs/>
          <w:iCs/>
        </w:rPr>
        <w:t>advertir</w:t>
      </w:r>
      <w:r w:rsidRPr="00A41002">
        <w:rPr>
          <w:bCs/>
          <w:iCs/>
        </w:rPr>
        <w:t xml:space="preserve"> una violación grave al principio constitucional de certeza determinó revocar la designación del </w:t>
      </w:r>
      <w:r w:rsidR="006B3B6E" w:rsidRPr="00A41002">
        <w:rPr>
          <w:bCs/>
          <w:iCs/>
        </w:rPr>
        <w:t xml:space="preserve">ahora </w:t>
      </w:r>
      <w:r w:rsidRPr="00A41002">
        <w:rPr>
          <w:bCs/>
          <w:iCs/>
        </w:rPr>
        <w:t xml:space="preserve">actor como comisario electo, declaró la nulidad de la elección de autoridades auxiliares de </w:t>
      </w:r>
      <w:proofErr w:type="spellStart"/>
      <w:r w:rsidRPr="00A41002">
        <w:rPr>
          <w:bCs/>
          <w:iCs/>
        </w:rPr>
        <w:t>Xcumpich</w:t>
      </w:r>
      <w:proofErr w:type="spellEnd"/>
      <w:r w:rsidRPr="00A41002">
        <w:rPr>
          <w:bCs/>
          <w:iCs/>
        </w:rPr>
        <w:t>, en Mérida, Yucatán y ordenó al ayuntamiento de Mérida, Yucatán</w:t>
      </w:r>
      <w:r w:rsidR="00BE1086" w:rsidRPr="00A41002">
        <w:rPr>
          <w:bCs/>
          <w:iCs/>
        </w:rPr>
        <w:t>,</w:t>
      </w:r>
      <w:r w:rsidRPr="00A41002">
        <w:rPr>
          <w:bCs/>
          <w:iCs/>
        </w:rPr>
        <w:t xml:space="preserve"> que, de manera inmediata, realizara los actos necesarios a fin de organizar y celebrar la elección extraordinaria de la comisaría de </w:t>
      </w:r>
      <w:proofErr w:type="spellStart"/>
      <w:r w:rsidRPr="00A41002">
        <w:rPr>
          <w:bCs/>
          <w:iCs/>
        </w:rPr>
        <w:t>Xcumpich</w:t>
      </w:r>
      <w:proofErr w:type="spellEnd"/>
      <w:r w:rsidRPr="00A41002">
        <w:rPr>
          <w:bCs/>
          <w:iCs/>
        </w:rPr>
        <w:t>.</w:t>
      </w:r>
    </w:p>
    <w:p w14:paraId="798D7E3F" w14:textId="49E90E76" w:rsidR="00CA6034" w:rsidRPr="00A41002" w:rsidRDefault="00CA6034" w:rsidP="00EA166C">
      <w:pPr>
        <w:pStyle w:val="numerados"/>
        <w:numPr>
          <w:ilvl w:val="0"/>
          <w:numId w:val="3"/>
        </w:numPr>
        <w:rPr>
          <w:bCs/>
          <w:iCs/>
        </w:rPr>
      </w:pPr>
      <w:r w:rsidRPr="00A41002">
        <w:rPr>
          <w:b/>
          <w:bCs/>
          <w:iCs/>
        </w:rPr>
        <w:t xml:space="preserve">Análisis de los </w:t>
      </w:r>
      <w:r w:rsidR="00A02A0F" w:rsidRPr="00A41002">
        <w:rPr>
          <w:b/>
          <w:bCs/>
          <w:iCs/>
        </w:rPr>
        <w:t>planteamientos</w:t>
      </w:r>
      <w:r w:rsidRPr="00A41002">
        <w:rPr>
          <w:b/>
          <w:bCs/>
          <w:iCs/>
        </w:rPr>
        <w:t xml:space="preserve"> de la parte actora</w:t>
      </w:r>
    </w:p>
    <w:p w14:paraId="0E2248DF" w14:textId="3B9AD95B" w:rsidR="003F02CF" w:rsidRPr="00A41002" w:rsidRDefault="003F02CF" w:rsidP="003F02CF">
      <w:pPr>
        <w:pStyle w:val="numerados"/>
        <w:numPr>
          <w:ilvl w:val="0"/>
          <w:numId w:val="0"/>
        </w:numPr>
        <w:rPr>
          <w:b/>
          <w:bCs/>
        </w:rPr>
      </w:pPr>
      <w:r w:rsidRPr="00A41002">
        <w:rPr>
          <w:b/>
          <w:bCs/>
        </w:rPr>
        <w:lastRenderedPageBreak/>
        <w:t>I. Vulneración al principio de conservación de los actos públicos válidamente celebrados; II. Indebido estudio sobre la presencia de representaciones de las candidaturas en el recuento de votos y; III. Indebida declaración de nulidad de la elección</w:t>
      </w:r>
    </w:p>
    <w:p w14:paraId="2784A2AE" w14:textId="0DE08D1F" w:rsidR="00CA6034" w:rsidRPr="00A41002" w:rsidRDefault="009B087C" w:rsidP="00CA6034">
      <w:pPr>
        <w:pStyle w:val="numerados"/>
        <w:ind w:left="0" w:hanging="1"/>
        <w:rPr>
          <w:b/>
          <w:bCs/>
        </w:rPr>
      </w:pPr>
      <w:r w:rsidRPr="00A41002">
        <w:t xml:space="preserve">La parte actora refiere que el Tribunal Electoral local </w:t>
      </w:r>
      <w:r w:rsidR="00A05E2C" w:rsidRPr="00A41002">
        <w:t xml:space="preserve">realizó una indebida fundamentación y motivación al determinar anular la elección de la comisaría de </w:t>
      </w:r>
      <w:proofErr w:type="spellStart"/>
      <w:r w:rsidR="00A05E2C" w:rsidRPr="00A41002">
        <w:t>Xcumplich</w:t>
      </w:r>
      <w:proofErr w:type="spellEnd"/>
      <w:r w:rsidR="009D276F" w:rsidRPr="00A41002">
        <w:t xml:space="preserve">, sin realizar una valoración completa de las posibles soluciones aplicables, para no afectar el interés público y </w:t>
      </w:r>
      <w:r w:rsidR="00E33316" w:rsidRPr="00A41002">
        <w:t>no vulnerar la voluntad manifiesta en las urnas, porque, desde su perspectiva</w:t>
      </w:r>
      <w:r w:rsidR="00BE1086" w:rsidRPr="00A41002">
        <w:t>,</w:t>
      </w:r>
      <w:r w:rsidR="00E33316" w:rsidRPr="00A41002">
        <w:t xml:space="preserve"> declarar la nulidad de una elección </w:t>
      </w:r>
      <w:r w:rsidR="00F52479" w:rsidRPr="00A41002">
        <w:t>debe ser la última opción</w:t>
      </w:r>
      <w:r w:rsidR="00E33316" w:rsidRPr="00A41002">
        <w:t>.</w:t>
      </w:r>
    </w:p>
    <w:p w14:paraId="15DCBA4A" w14:textId="677ED005" w:rsidR="002A02AB" w:rsidRPr="00A41002" w:rsidRDefault="00FF1B55" w:rsidP="00CA6034">
      <w:pPr>
        <w:pStyle w:val="numerados"/>
        <w:ind w:left="0" w:hanging="1"/>
        <w:rPr>
          <w:b/>
          <w:bCs/>
        </w:rPr>
      </w:pPr>
      <w:r w:rsidRPr="00A41002">
        <w:t>Asimismo, señala que la nulidad de las elecciones procede</w:t>
      </w:r>
      <w:r w:rsidR="005D594F" w:rsidRPr="00A41002">
        <w:t xml:space="preserve"> ante una irregularidad grave, que afecte los principios </w:t>
      </w:r>
      <w:r w:rsidR="00850381" w:rsidRPr="00A41002">
        <w:t>d</w:t>
      </w:r>
      <w:r w:rsidR="005D594F" w:rsidRPr="00A41002">
        <w:t>e la función electoral</w:t>
      </w:r>
      <w:r w:rsidR="002F7DB4" w:rsidRPr="00A41002">
        <w:t>, generalizada, que no sea posible su reparación y que sea determinante para el resultado de la elección.</w:t>
      </w:r>
    </w:p>
    <w:p w14:paraId="6839570C" w14:textId="1EAB72B7" w:rsidR="00850381" w:rsidRPr="00A41002" w:rsidRDefault="00543894" w:rsidP="00AA503D">
      <w:pPr>
        <w:pStyle w:val="numerados"/>
        <w:ind w:left="0" w:hanging="1"/>
        <w:rPr>
          <w:b/>
          <w:bCs/>
        </w:rPr>
      </w:pPr>
      <w:r w:rsidRPr="00A41002">
        <w:t>En ese sentido, considera que el TEEY no realizó una debida fundamentación y motivación</w:t>
      </w:r>
      <w:r w:rsidR="00F1529A" w:rsidRPr="00A41002">
        <w:t>, así como no analizó, valoró y ponderó s</w:t>
      </w:r>
      <w:r w:rsidR="00850381" w:rsidRPr="00A41002">
        <w:t>i</w:t>
      </w:r>
      <w:r w:rsidR="00493688" w:rsidRPr="00A41002">
        <w:t xml:space="preserve"> la única solución posible era </w:t>
      </w:r>
      <w:r w:rsidR="00F67D6C" w:rsidRPr="00A41002">
        <w:t>la nulidad de la elección referida</w:t>
      </w:r>
      <w:r w:rsidR="00850381" w:rsidRPr="00A41002">
        <w:t>.</w:t>
      </w:r>
    </w:p>
    <w:p w14:paraId="22FFEF5C" w14:textId="2668BEE9" w:rsidR="00AA503D" w:rsidRPr="00A41002" w:rsidRDefault="00AA503D" w:rsidP="00AA503D">
      <w:pPr>
        <w:pStyle w:val="numerados"/>
        <w:ind w:left="0" w:hanging="1"/>
        <w:rPr>
          <w:b/>
          <w:bCs/>
        </w:rPr>
      </w:pPr>
      <w:r w:rsidRPr="00A41002">
        <w:t xml:space="preserve">Al respecto, </w:t>
      </w:r>
      <w:r w:rsidR="001356F3" w:rsidRPr="00A41002">
        <w:t>aduce que en el sistema de nulidades destaca el principio de conservación de los actos públicos válidamente celebrados</w:t>
      </w:r>
      <w:r w:rsidR="00E240D4" w:rsidRPr="00A41002">
        <w:t>, cuya finalidad es preservar aquellos actos de autoridad que resulten válidos, aun cuando estén afectados por alguna irregularidad, siempre que esta</w:t>
      </w:r>
      <w:r w:rsidR="00195137" w:rsidRPr="00A41002">
        <w:t>s resulten menores y por tanto insuficientes para invalidarlos.</w:t>
      </w:r>
    </w:p>
    <w:p w14:paraId="50BE8C99" w14:textId="7A92915C" w:rsidR="00195137" w:rsidRPr="00A41002" w:rsidRDefault="00E03E23" w:rsidP="00AA503D">
      <w:pPr>
        <w:pStyle w:val="numerados"/>
        <w:ind w:left="0" w:hanging="1"/>
        <w:rPr>
          <w:b/>
          <w:bCs/>
        </w:rPr>
      </w:pPr>
      <w:r w:rsidRPr="00A41002">
        <w:lastRenderedPageBreak/>
        <w:t>Aunado a lo anterior, refiere que</w:t>
      </w:r>
      <w:r w:rsidR="00AD20DE" w:rsidRPr="00A41002">
        <w:t xml:space="preserve"> </w:t>
      </w:r>
      <w:r w:rsidR="00174306" w:rsidRPr="00A41002">
        <w:t xml:space="preserve">fue indebida </w:t>
      </w:r>
      <w:r w:rsidR="008B1B73" w:rsidRPr="00A41002">
        <w:t>la interpretación asumida por el TEEY respecto de la</w:t>
      </w:r>
      <w:r w:rsidR="006B3A94" w:rsidRPr="00A41002">
        <w:t xml:space="preserve"> vulneración al principio de certeza</w:t>
      </w:r>
      <w:r w:rsidR="00BE1086" w:rsidRPr="00A41002">
        <w:t>,</w:t>
      </w:r>
      <w:r w:rsidR="006B3A94" w:rsidRPr="00A41002">
        <w:t xml:space="preserve"> al no encontrarse presentes en el recuento de votos realizado por el Consejo Electoral</w:t>
      </w:r>
      <w:r w:rsidR="007F6D9D" w:rsidRPr="00A41002">
        <w:t xml:space="preserve"> las representaciones de las candidaturas</w:t>
      </w:r>
      <w:r w:rsidR="00174306" w:rsidRPr="00A41002">
        <w:t>.</w:t>
      </w:r>
    </w:p>
    <w:p w14:paraId="4933716A" w14:textId="25D1BBBF" w:rsidR="00174306" w:rsidRPr="00A41002" w:rsidRDefault="00BB5867" w:rsidP="00AA503D">
      <w:pPr>
        <w:pStyle w:val="numerados"/>
        <w:ind w:left="0" w:hanging="1"/>
        <w:rPr>
          <w:b/>
          <w:bCs/>
        </w:rPr>
      </w:pPr>
      <w:r w:rsidRPr="00A41002">
        <w:t>Lo anterior, porque desde su perspectiva</w:t>
      </w:r>
      <w:r w:rsidR="00530F7B" w:rsidRPr="00A41002">
        <w:t xml:space="preserve"> </w:t>
      </w:r>
      <w:r w:rsidR="00BE1086" w:rsidRPr="00A41002">
        <w:t>era</w:t>
      </w:r>
      <w:r w:rsidR="00394093" w:rsidRPr="00A41002">
        <w:t xml:space="preserve"> incorrecto que </w:t>
      </w:r>
      <w:r w:rsidR="00BE1086" w:rsidRPr="00A41002">
        <w:t xml:space="preserve">el TEEY </w:t>
      </w:r>
      <w:r w:rsidR="00394093" w:rsidRPr="00A41002">
        <w:t>sostuviera de manera di</w:t>
      </w:r>
      <w:r w:rsidRPr="00A41002">
        <w:t>re</w:t>
      </w:r>
      <w:r w:rsidR="00394093" w:rsidRPr="00A41002">
        <w:t>cta</w:t>
      </w:r>
      <w:r w:rsidR="00C668E1" w:rsidRPr="00A41002">
        <w:t xml:space="preserve"> que la ausencia de representaciones de las candidaturas en el recuento de votos era un elemento suficiente para demostrar una afectación grave al principio de certeza y, en consecuencia, determinara la nulidad de la elección.</w:t>
      </w:r>
    </w:p>
    <w:p w14:paraId="70DF5665" w14:textId="5DC771D2" w:rsidR="00E33316" w:rsidRPr="00A41002" w:rsidRDefault="006129C9" w:rsidP="00CA6034">
      <w:pPr>
        <w:pStyle w:val="numerados"/>
        <w:ind w:left="0" w:hanging="1"/>
        <w:rPr>
          <w:b/>
          <w:bCs/>
        </w:rPr>
      </w:pPr>
      <w:r w:rsidRPr="00A41002">
        <w:t xml:space="preserve">Al respecto, señala que </w:t>
      </w:r>
      <w:r w:rsidR="00FB1201" w:rsidRPr="00A41002">
        <w:t>el Tribunal Electoral local no verificó si</w:t>
      </w:r>
      <w:r w:rsidR="001D38BB" w:rsidRPr="00A41002">
        <w:t>,</w:t>
      </w:r>
      <w:r w:rsidR="00FB1201" w:rsidRPr="00A41002">
        <w:t xml:space="preserve"> en términos del artículo 31 del Reglamento de Elección de Autoridades Auxiliares del Ayuntamiento de Mérida</w:t>
      </w:r>
      <w:r w:rsidR="001D38BB" w:rsidRPr="00A41002">
        <w:t xml:space="preserve">, </w:t>
      </w:r>
      <w:r w:rsidR="00FB1201" w:rsidRPr="00A41002">
        <w:t xml:space="preserve">efectivamente las candidaturas involucradas nombraron </w:t>
      </w:r>
      <w:r w:rsidR="002A2281" w:rsidRPr="00A41002">
        <w:t xml:space="preserve">debidamente </w:t>
      </w:r>
      <w:r w:rsidR="00FB1201" w:rsidRPr="00A41002">
        <w:t xml:space="preserve">representaciones </w:t>
      </w:r>
      <w:r w:rsidR="00FB1D19" w:rsidRPr="00A41002">
        <w:t>autorizad</w:t>
      </w:r>
      <w:r w:rsidR="001D38BB" w:rsidRPr="00A41002">
        <w:t>a</w:t>
      </w:r>
      <w:r w:rsidR="00FB1D19" w:rsidRPr="00A41002">
        <w:t>s por el Consejo Electoral</w:t>
      </w:r>
      <w:r w:rsidR="00687555" w:rsidRPr="00A41002">
        <w:t>.</w:t>
      </w:r>
    </w:p>
    <w:p w14:paraId="0BF79FB2" w14:textId="5618AD14" w:rsidR="009D3617" w:rsidRPr="00A41002" w:rsidRDefault="009D3617" w:rsidP="00CA6034">
      <w:pPr>
        <w:pStyle w:val="numerados"/>
        <w:ind w:left="0" w:hanging="1"/>
        <w:rPr>
          <w:b/>
          <w:bCs/>
        </w:rPr>
      </w:pPr>
      <w:r w:rsidRPr="00A41002">
        <w:t xml:space="preserve">En ese contexto, aduce que el TEEY no fue exhaustivo porque no </w:t>
      </w:r>
      <w:r w:rsidR="006A0D89" w:rsidRPr="00A41002">
        <w:t xml:space="preserve">verificó si efectivamente la candidatura demandante solicitó de manera oportuna </w:t>
      </w:r>
      <w:r w:rsidR="008278A6" w:rsidRPr="00A41002">
        <w:t>nombrar una representación para el proceso comicial, ya que de demostrarse que</w:t>
      </w:r>
      <w:r w:rsidR="0062178B" w:rsidRPr="00A41002">
        <w:t xml:space="preserve"> la parte actora ante la instancia local no solicitó dicha representación</w:t>
      </w:r>
      <w:r w:rsidR="00A302DB" w:rsidRPr="00A41002">
        <w:t>,</w:t>
      </w:r>
      <w:r w:rsidR="0062178B" w:rsidRPr="00A41002">
        <w:t xml:space="preserve"> el Tribunal Electoral local se encontraba </w:t>
      </w:r>
      <w:r w:rsidR="00D1450F" w:rsidRPr="00A41002">
        <w:t>imposibilitado</w:t>
      </w:r>
      <w:r w:rsidR="0062178B" w:rsidRPr="00A41002">
        <w:t xml:space="preserve"> a </w:t>
      </w:r>
      <w:r w:rsidR="0082647D" w:rsidRPr="00A41002">
        <w:t>procurar la presencia de representaciones en el recuento</w:t>
      </w:r>
      <w:r w:rsidR="00CD28D3" w:rsidRPr="00A41002">
        <w:t xml:space="preserve"> y en consecuencia anular la elección referida</w:t>
      </w:r>
      <w:r w:rsidR="00A302DB" w:rsidRPr="00A41002">
        <w:t>.</w:t>
      </w:r>
    </w:p>
    <w:p w14:paraId="19B0C002" w14:textId="6F681DD0" w:rsidR="00687555" w:rsidRPr="00A41002" w:rsidRDefault="00834A11" w:rsidP="00CA6034">
      <w:pPr>
        <w:pStyle w:val="numerados"/>
        <w:ind w:left="0" w:hanging="1"/>
        <w:rPr>
          <w:b/>
          <w:bCs/>
        </w:rPr>
      </w:pPr>
      <w:r w:rsidRPr="00A41002">
        <w:lastRenderedPageBreak/>
        <w:t>Asimismo, refiere</w:t>
      </w:r>
      <w:r w:rsidR="0008235E" w:rsidRPr="00A41002">
        <w:t xml:space="preserve"> que el Tribunal local debió verificar si existía otra manera de salvaguardar los principios democráticos de la elección y la voluntad manifestada en la elección</w:t>
      </w:r>
      <w:r w:rsidR="00BE1086" w:rsidRPr="00A41002">
        <w:t>, ya que</w:t>
      </w:r>
      <w:r w:rsidR="0020439F" w:rsidRPr="00A41002">
        <w:t xml:space="preserve"> el ejercicio del derecho al voto activo del electorado </w:t>
      </w:r>
      <w:r w:rsidR="00D70028" w:rsidRPr="00A41002">
        <w:t>válidamente expresado no debe ser vi</w:t>
      </w:r>
      <w:r w:rsidR="00DB2B3F" w:rsidRPr="00A41002">
        <w:t>c</w:t>
      </w:r>
      <w:r w:rsidR="00D70028" w:rsidRPr="00A41002">
        <w:t xml:space="preserve">iado por irregularidades e imperfecciones </w:t>
      </w:r>
      <w:r w:rsidR="00C9468C" w:rsidRPr="00A41002">
        <w:t>m</w:t>
      </w:r>
      <w:r w:rsidR="00D70028" w:rsidRPr="00A41002">
        <w:t>enores o que no tras</w:t>
      </w:r>
      <w:r w:rsidR="008C7F23" w:rsidRPr="00A41002">
        <w:t>cendieron en los resultados de validez de la elección, pues no cualquier infracción a la normativa electoral da lugar a la nulidad de la votación</w:t>
      </w:r>
      <w:r w:rsidR="0008235E" w:rsidRPr="00A41002">
        <w:t>.</w:t>
      </w:r>
    </w:p>
    <w:p w14:paraId="1099CEB1" w14:textId="0A43FB67" w:rsidR="00DB2B3F" w:rsidRPr="00A41002" w:rsidRDefault="00AE79DD" w:rsidP="00CA6034">
      <w:pPr>
        <w:pStyle w:val="numerados"/>
        <w:ind w:left="0" w:hanging="1"/>
      </w:pPr>
      <w:r w:rsidRPr="00A41002">
        <w:t xml:space="preserve">Aunado a lo anterior, el actor </w:t>
      </w:r>
      <w:r w:rsidR="001610D4" w:rsidRPr="00A41002">
        <w:t>considera</w:t>
      </w:r>
      <w:r w:rsidRPr="00A41002">
        <w:t xml:space="preserve"> que </w:t>
      </w:r>
      <w:r w:rsidR="005B3012" w:rsidRPr="00A41002">
        <w:t xml:space="preserve">se vulneró el principio de </w:t>
      </w:r>
      <w:r w:rsidR="00A70B20" w:rsidRPr="00A41002">
        <w:t>conservación de los ac</w:t>
      </w:r>
      <w:r w:rsidR="00C44451" w:rsidRPr="00A41002">
        <w:t>t</w:t>
      </w:r>
      <w:r w:rsidR="00A70B20" w:rsidRPr="00A41002">
        <w:t xml:space="preserve">os públicos válidamente celebrados que </w:t>
      </w:r>
      <w:r w:rsidR="001610D4" w:rsidRPr="00A41002">
        <w:t>establece</w:t>
      </w:r>
      <w:r w:rsidR="00A70B20" w:rsidRPr="00A41002">
        <w:t xml:space="preserve"> que lo útil no puede ser viciado por lo </w:t>
      </w:r>
      <w:r w:rsidR="00953F50" w:rsidRPr="00A41002">
        <w:t>inútil</w:t>
      </w:r>
      <w:r w:rsidR="001610D4" w:rsidRPr="00A41002">
        <w:t xml:space="preserve">, en ese sentido, </w:t>
      </w:r>
      <w:r w:rsidR="00614793" w:rsidRPr="00A41002">
        <w:t>aduce que fue</w:t>
      </w:r>
      <w:r w:rsidR="00A70B20" w:rsidRPr="00A41002">
        <w:t xml:space="preserve"> incorrecto</w:t>
      </w:r>
      <w:r w:rsidR="00B8743F" w:rsidRPr="00A41002">
        <w:t xml:space="preserve"> que al acreditarse una irregularidad que afect</w:t>
      </w:r>
      <w:r w:rsidR="00614793" w:rsidRPr="00A41002">
        <w:t>ó</w:t>
      </w:r>
      <w:r w:rsidR="00B8743F" w:rsidRPr="00A41002">
        <w:t xml:space="preserve"> el principio de certeza</w:t>
      </w:r>
      <w:r w:rsidR="00614793" w:rsidRPr="00A41002">
        <w:t>, en automático,</w:t>
      </w:r>
      <w:r w:rsidR="00B8743F" w:rsidRPr="00A41002">
        <w:t xml:space="preserve"> </w:t>
      </w:r>
      <w:r w:rsidR="00614793" w:rsidRPr="00A41002">
        <w:t>se determinara que se afectó</w:t>
      </w:r>
      <w:r w:rsidR="00853A27" w:rsidRPr="00A41002">
        <w:t xml:space="preserve"> por completo el proceso comicial</w:t>
      </w:r>
      <w:r w:rsidR="00614793" w:rsidRPr="00A41002">
        <w:t>,</w:t>
      </w:r>
      <w:r w:rsidR="00853A27" w:rsidRPr="00A41002">
        <w:t xml:space="preserve"> cuando lo correcto </w:t>
      </w:r>
      <w:r w:rsidR="00614793" w:rsidRPr="00A41002">
        <w:t>era</w:t>
      </w:r>
      <w:r w:rsidR="00853A27" w:rsidRPr="00A41002">
        <w:t xml:space="preserve"> efectuar un recuento</w:t>
      </w:r>
      <w:r w:rsidR="00953F50" w:rsidRPr="00A41002">
        <w:t xml:space="preserve"> en presencia de las candidaturas</w:t>
      </w:r>
      <w:r w:rsidR="00614793" w:rsidRPr="00A41002">
        <w:t xml:space="preserve"> para subsanar dicha inconsistencia</w:t>
      </w:r>
      <w:r w:rsidR="00953F50" w:rsidRPr="00A41002">
        <w:t>.</w:t>
      </w:r>
    </w:p>
    <w:p w14:paraId="45D3ED16" w14:textId="27B3570C" w:rsidR="00D6797E" w:rsidRPr="00A41002" w:rsidRDefault="009B17AE" w:rsidP="00CA6034">
      <w:pPr>
        <w:pStyle w:val="numerados"/>
        <w:ind w:left="0" w:hanging="1"/>
      </w:pPr>
      <w:r w:rsidRPr="00A41002">
        <w:t xml:space="preserve">Lo anterior, </w:t>
      </w:r>
      <w:r w:rsidR="00614793" w:rsidRPr="00A41002">
        <w:t>debido a</w:t>
      </w:r>
      <w:r w:rsidRPr="00A41002">
        <w:t xml:space="preserve"> </w:t>
      </w:r>
      <w:r w:rsidR="00AB3242" w:rsidRPr="00A41002">
        <w:t>que,</w:t>
      </w:r>
      <w:r w:rsidRPr="00A41002">
        <w:t xml:space="preserve"> a juicio </w:t>
      </w:r>
      <w:r w:rsidR="00C67ED3" w:rsidRPr="00A41002">
        <w:t>del promovente</w:t>
      </w:r>
      <w:r w:rsidR="00BE1086" w:rsidRPr="00A41002">
        <w:t>,</w:t>
      </w:r>
      <w:r w:rsidR="00C67ED3" w:rsidRPr="00A41002">
        <w:t xml:space="preserve"> si bien en la sentencia impugnada se acreditó la vulneración al principio de certeza por el hecho de que se demostró la ausencia de </w:t>
      </w:r>
      <w:r w:rsidR="00147B49" w:rsidRPr="00A41002">
        <w:t>las</w:t>
      </w:r>
      <w:r w:rsidR="00C67ED3" w:rsidRPr="00A41002">
        <w:t xml:space="preserve"> representaciones</w:t>
      </w:r>
      <w:r w:rsidR="00147B49" w:rsidRPr="00A41002">
        <w:t xml:space="preserve"> de las candidaturas durante el recuento realizado por el Consejo Electoral, ello, conforme a la línea </w:t>
      </w:r>
      <w:r w:rsidR="00614793" w:rsidRPr="00A41002">
        <w:t>jurisprudencial</w:t>
      </w:r>
      <w:r w:rsidR="00147B49" w:rsidRPr="00A41002">
        <w:t xml:space="preserve"> sostenida por la Sala Supe</w:t>
      </w:r>
      <w:r w:rsidR="00D6797E" w:rsidRPr="00A41002">
        <w:t>rior</w:t>
      </w:r>
      <w:r w:rsidR="00614793" w:rsidRPr="00A41002">
        <w:t xml:space="preserve"> de este Tribunal Electoral,</w:t>
      </w:r>
      <w:r w:rsidR="00D6797E" w:rsidRPr="00A41002">
        <w:t xml:space="preserve"> no constituye un elemento suficiente para anular por completo los resultados de la elección.</w:t>
      </w:r>
    </w:p>
    <w:p w14:paraId="0909F3BF" w14:textId="73D934F2" w:rsidR="00953F50" w:rsidRPr="00A41002" w:rsidRDefault="00D6797E" w:rsidP="00CA6034">
      <w:pPr>
        <w:pStyle w:val="numerados"/>
        <w:ind w:left="0" w:hanging="1"/>
      </w:pPr>
      <w:r w:rsidRPr="00A41002">
        <w:lastRenderedPageBreak/>
        <w:t>Debido a que, la acreditación de una irregularidad</w:t>
      </w:r>
      <w:r w:rsidR="003A040A" w:rsidRPr="00A41002">
        <w:t xml:space="preserve"> no es un factor suficiente para invalida</w:t>
      </w:r>
      <w:r w:rsidR="00BE1086" w:rsidRPr="00A41002">
        <w:t>r</w:t>
      </w:r>
      <w:r w:rsidR="003A040A" w:rsidRPr="00A41002">
        <w:t xml:space="preserve"> por completo la elección, en atención a que el Tribunal Electoral local tenía el</w:t>
      </w:r>
      <w:r w:rsidR="00A669E3" w:rsidRPr="00A41002">
        <w:t xml:space="preserve"> deber de valorar que la mayoría de los votos</w:t>
      </w:r>
      <w:r w:rsidR="005E3083" w:rsidRPr="00A41002">
        <w:t xml:space="preserve"> (636)</w:t>
      </w:r>
      <w:r w:rsidR="00A669E3" w:rsidRPr="00A41002">
        <w:t xml:space="preserve"> se emitieron sin irregularidad alguna, y que la cuestión controvertida recaía </w:t>
      </w:r>
      <w:r w:rsidR="00614793" w:rsidRPr="00A41002">
        <w:t xml:space="preserve">solo </w:t>
      </w:r>
      <w:r w:rsidR="00A669E3" w:rsidRPr="00A41002">
        <w:t>en la interpretación de los seis votos originalmente calificados como nulos, lo que definió la candidatura ganadora</w:t>
      </w:r>
      <w:r w:rsidR="00A732D1" w:rsidRPr="00A41002">
        <w:t>.</w:t>
      </w:r>
    </w:p>
    <w:p w14:paraId="4B27CC65" w14:textId="390AA188" w:rsidR="00A732D1" w:rsidRPr="00A41002" w:rsidRDefault="00A732D1" w:rsidP="00CA6034">
      <w:pPr>
        <w:pStyle w:val="numerados"/>
        <w:ind w:left="0" w:hanging="1"/>
      </w:pPr>
      <w:r w:rsidRPr="00A41002">
        <w:t xml:space="preserve">Es decir, el actor considera que sobre el mayor </w:t>
      </w:r>
      <w:r w:rsidR="00316027" w:rsidRPr="00A41002">
        <w:t>número</w:t>
      </w:r>
      <w:r w:rsidRPr="00A41002">
        <w:t xml:space="preserve"> de votos emitidos</w:t>
      </w:r>
      <w:r w:rsidR="004A6279" w:rsidRPr="00A41002">
        <w:t xml:space="preserve"> no existía controversia, por lo que el TEEY no debió anular por completo la </w:t>
      </w:r>
      <w:r w:rsidR="00CE18CC" w:rsidRPr="00A41002">
        <w:t>votación</w:t>
      </w:r>
      <w:r w:rsidR="002D4FDF" w:rsidRPr="00A41002">
        <w:t>, en ese sentido, argumenta que la autoridad responsable debió</w:t>
      </w:r>
      <w:r w:rsidR="000E2AD8" w:rsidRPr="00A41002">
        <w:t xml:space="preserve"> </w:t>
      </w:r>
      <w:r w:rsidR="00614793" w:rsidRPr="00A41002">
        <w:t>decretar</w:t>
      </w:r>
      <w:r w:rsidR="000E2AD8" w:rsidRPr="00A41002">
        <w:t xml:space="preserve"> la vulneración al principio de certeza al no encontrarse presentes las representaciones de las candidaturas durante el recuento en sede administrativa pero</w:t>
      </w:r>
      <w:r w:rsidR="00C26190" w:rsidRPr="00A41002">
        <w:t xml:space="preserve"> respetando el principio los actos públicos válidamente celebrados</w:t>
      </w:r>
      <w:r w:rsidR="00A7272C" w:rsidRPr="00A41002">
        <w:t>, ordenando un nuevo recuento</w:t>
      </w:r>
      <w:r w:rsidR="00EE3B72" w:rsidRPr="00A41002">
        <w:t xml:space="preserve"> de los seis votos originalmente calificados como nulos controvertidos,</w:t>
      </w:r>
      <w:r w:rsidR="00A7272C" w:rsidRPr="00A41002">
        <w:t xml:space="preserve"> respetándose el principio de certeza</w:t>
      </w:r>
      <w:r w:rsidR="00EE3B72" w:rsidRPr="00A41002">
        <w:t xml:space="preserve"> con la presencia de sus representaciones</w:t>
      </w:r>
      <w:r w:rsidR="00A7272C" w:rsidRPr="00A41002">
        <w:t>.</w:t>
      </w:r>
    </w:p>
    <w:p w14:paraId="74AC96AA" w14:textId="2409729D" w:rsidR="00A7272C" w:rsidRPr="00A41002" w:rsidRDefault="0009441A" w:rsidP="00CA6034">
      <w:pPr>
        <w:pStyle w:val="numerados"/>
        <w:ind w:left="0" w:hanging="1"/>
      </w:pPr>
      <w:r w:rsidRPr="00A41002">
        <w:t xml:space="preserve">Asimismo, refiere que el TEEY debió </w:t>
      </w:r>
      <w:r w:rsidR="000F69D9" w:rsidRPr="00A41002">
        <w:t xml:space="preserve">cumplir con lo sostenido por la Sala Superior en el asunto SUP-REC-1157/2021 y acumulados, mediante el cual </w:t>
      </w:r>
      <w:r w:rsidR="001C0773" w:rsidRPr="00A41002">
        <w:t xml:space="preserve">refirió que la nulidad de una elección constituye el </w:t>
      </w:r>
      <w:r w:rsidR="00316027" w:rsidRPr="00A41002">
        <w:t>último</w:t>
      </w:r>
      <w:r w:rsidR="001C0773" w:rsidRPr="00A41002">
        <w:t xml:space="preserve"> recurso en el derecho electoral mexicano, por lo que los extremos de la causa de nulidad deben estar plenamente </w:t>
      </w:r>
      <w:r w:rsidR="00A2208F" w:rsidRPr="00A41002">
        <w:t>acreditados</w:t>
      </w:r>
      <w:r w:rsidR="001C0773" w:rsidRPr="00A41002">
        <w:t xml:space="preserve"> y ser determinantes</w:t>
      </w:r>
      <w:r w:rsidR="00E61ADD" w:rsidRPr="00A41002">
        <w:t xml:space="preserve">, por lo que tendría que haber partido del </w:t>
      </w:r>
      <w:r w:rsidR="00FC4F8C" w:rsidRPr="00A41002">
        <w:t>principio</w:t>
      </w:r>
      <w:r w:rsidR="00E61ADD" w:rsidRPr="00A41002">
        <w:t xml:space="preserve"> de conservación de </w:t>
      </w:r>
      <w:r w:rsidR="00FC4F8C" w:rsidRPr="00A41002">
        <w:t>l</w:t>
      </w:r>
      <w:r w:rsidR="00E61ADD" w:rsidRPr="00A41002">
        <w:t>os actos válidamente celebrados</w:t>
      </w:r>
      <w:r w:rsidR="00FC4F8C" w:rsidRPr="00A41002">
        <w:t xml:space="preserve"> y </w:t>
      </w:r>
      <w:r w:rsidR="00A2208F" w:rsidRPr="00A41002">
        <w:t xml:space="preserve">prever todas las vertientes </w:t>
      </w:r>
      <w:r w:rsidR="00A2208F" w:rsidRPr="00A41002">
        <w:lastRenderedPageBreak/>
        <w:t>posibles</w:t>
      </w:r>
      <w:r w:rsidR="00E61ADD" w:rsidRPr="00A41002">
        <w:t xml:space="preserve"> </w:t>
      </w:r>
      <w:r w:rsidR="005A67B3" w:rsidRPr="00A41002">
        <w:t xml:space="preserve">con el </w:t>
      </w:r>
      <w:r w:rsidR="00A2208F" w:rsidRPr="00A41002">
        <w:t>fin de evitar</w:t>
      </w:r>
      <w:r w:rsidR="005A67B3" w:rsidRPr="00A41002">
        <w:t xml:space="preserve"> dañar derechos a terceros como, en el caso, </w:t>
      </w:r>
      <w:r w:rsidR="008B1B74" w:rsidRPr="00A41002">
        <w:t>el del electorado que ejerció su derecho al voto activo.</w:t>
      </w:r>
    </w:p>
    <w:p w14:paraId="6DFBE09E" w14:textId="0145EBDC" w:rsidR="008B1B74" w:rsidRPr="00A41002" w:rsidRDefault="00977A69" w:rsidP="00CA6034">
      <w:pPr>
        <w:pStyle w:val="numerados"/>
        <w:ind w:left="0" w:hanging="1"/>
      </w:pPr>
      <w:r w:rsidRPr="00A41002">
        <w:t>Aunado a lo anterior, considera que el TEEY también debió tomar en consideración el criterio sostenido por la Sala Superior en el asunto SUP-REC-1073/2018</w:t>
      </w:r>
      <w:r w:rsidR="00852C4B" w:rsidRPr="00A41002">
        <w:t xml:space="preserve">, </w:t>
      </w:r>
      <w:r w:rsidR="00385763" w:rsidRPr="00A41002">
        <w:t xml:space="preserve">en </w:t>
      </w:r>
      <w:r w:rsidR="00D96B23" w:rsidRPr="00A41002">
        <w:t>el sentido de que</w:t>
      </w:r>
      <w:r w:rsidR="00385763" w:rsidRPr="00A41002">
        <w:t>, lo correcto era</w:t>
      </w:r>
      <w:r w:rsidR="00D96B23" w:rsidRPr="00A41002">
        <w:t xml:space="preserve"> que el Tribunal Electoral local subsanara la falta de presencia</w:t>
      </w:r>
      <w:r w:rsidR="00BE2DE0" w:rsidRPr="00A41002">
        <w:t xml:space="preserve"> </w:t>
      </w:r>
      <w:r w:rsidR="006C6165" w:rsidRPr="00A41002">
        <w:t xml:space="preserve">de </w:t>
      </w:r>
      <w:r w:rsidR="00BE2DE0" w:rsidRPr="00A41002">
        <w:t xml:space="preserve">las representaciones a través de la realización de una nueva diligencia de recuento a fin de interpretar </w:t>
      </w:r>
      <w:r w:rsidR="008C2FBD" w:rsidRPr="00A41002">
        <w:t>los seis votos nulos controvertidos</w:t>
      </w:r>
      <w:r w:rsidR="006C6165" w:rsidRPr="00A41002">
        <w:t>, lo cual, desde su perspectiva es acorde al precedente citado</w:t>
      </w:r>
      <w:r w:rsidR="006F1BF8" w:rsidRPr="00A41002">
        <w:t xml:space="preserve"> en el que se estableció que el voto activo de los electores </w:t>
      </w:r>
      <w:r w:rsidR="008E5799" w:rsidRPr="00A41002">
        <w:t>no debe ser viciado por irregularidades e imperfecciones menores que no trascendieron a los resultados o validez de la elección</w:t>
      </w:r>
      <w:r w:rsidR="00094457" w:rsidRPr="00A41002">
        <w:t>.</w:t>
      </w:r>
    </w:p>
    <w:p w14:paraId="539FB3F5" w14:textId="30C79E10" w:rsidR="00352508" w:rsidRPr="00A41002" w:rsidRDefault="00116237" w:rsidP="00CA6034">
      <w:pPr>
        <w:pStyle w:val="numerados"/>
        <w:ind w:left="0" w:hanging="1"/>
      </w:pPr>
      <w:r w:rsidRPr="00A41002">
        <w:t>En ese sentido, considera que</w:t>
      </w:r>
      <w:r w:rsidR="00802962" w:rsidRPr="00A41002">
        <w:t xml:space="preserve"> el TEEY</w:t>
      </w:r>
      <w:r w:rsidRPr="00A41002">
        <w:t xml:space="preserve"> únicamente</w:t>
      </w:r>
      <w:r w:rsidR="00802962" w:rsidRPr="00A41002">
        <w:t xml:space="preserve"> debió revocar la actuación que careció de certeza por la falta de diligencia del Consejo Electoral</w:t>
      </w:r>
      <w:r w:rsidR="00352508" w:rsidRPr="00A41002">
        <w:t xml:space="preserve"> al no encontrarse presentes en el recuento las representaciones de las candidaturas.</w:t>
      </w:r>
    </w:p>
    <w:p w14:paraId="2BC2A113" w14:textId="42509D94" w:rsidR="00116237" w:rsidRPr="00A41002" w:rsidRDefault="002A3996" w:rsidP="00CA6034">
      <w:pPr>
        <w:pStyle w:val="numerados"/>
        <w:ind w:left="0" w:hanging="1"/>
      </w:pPr>
      <w:r w:rsidRPr="00A41002">
        <w:t>Por lo anterior, el actor solicita que se lleve a cab</w:t>
      </w:r>
      <w:r w:rsidR="00465079" w:rsidRPr="00A41002">
        <w:t>o un recuento en sede jurisdiccional con la presencia de las representaciones de las candidaturas para que dicha actuación dote de certeza el resultado de la elección.</w:t>
      </w:r>
    </w:p>
    <w:p w14:paraId="63C828B6" w14:textId="7535367A" w:rsidR="00465079" w:rsidRPr="00A41002" w:rsidRDefault="00696AEE" w:rsidP="00CA6034">
      <w:pPr>
        <w:pStyle w:val="numerados"/>
        <w:ind w:left="0" w:hanging="1"/>
      </w:pPr>
      <w:r w:rsidRPr="00A41002">
        <w:t>Además</w:t>
      </w:r>
      <w:r w:rsidR="00D77518" w:rsidRPr="00A41002">
        <w:t xml:space="preserve">, el actor refiere </w:t>
      </w:r>
      <w:r w:rsidR="005B45D2" w:rsidRPr="00A41002">
        <w:t>que,</w:t>
      </w:r>
      <w:r w:rsidR="00D77518" w:rsidRPr="00A41002">
        <w:t xml:space="preserve"> conforme a</w:t>
      </w:r>
      <w:r w:rsidRPr="00A41002">
        <w:t xml:space="preserve"> </w:t>
      </w:r>
      <w:r w:rsidR="00FC32EE" w:rsidRPr="00A41002">
        <w:t>l</w:t>
      </w:r>
      <w:r w:rsidRPr="00A41002">
        <w:t>a</w:t>
      </w:r>
      <w:r w:rsidR="00FC32EE" w:rsidRPr="00A41002">
        <w:t xml:space="preserve"> línea jurisprudencial sostenida por la Sala Superior, para anular una elección debe acreditarse una serie de condiciones concurrentes y</w:t>
      </w:r>
      <w:r w:rsidR="00487694" w:rsidRPr="00A41002">
        <w:t xml:space="preserve">, por tanto, las autoridades jurisdiccionales deben </w:t>
      </w:r>
      <w:r w:rsidR="00593F5C" w:rsidRPr="00A41002">
        <w:t xml:space="preserve">fundamentar </w:t>
      </w:r>
      <w:r w:rsidR="00593F5C" w:rsidRPr="00A41002">
        <w:lastRenderedPageBreak/>
        <w:t>y motivar de manera robusta la determinación de declarar inválidos los resultados de una elección.</w:t>
      </w:r>
    </w:p>
    <w:p w14:paraId="7A4A1E78" w14:textId="77777777" w:rsidR="007268E4" w:rsidRPr="00A41002" w:rsidRDefault="00447F88" w:rsidP="00CA6034">
      <w:pPr>
        <w:pStyle w:val="numerados"/>
        <w:ind w:left="0" w:hanging="1"/>
      </w:pPr>
      <w:r w:rsidRPr="00A41002">
        <w:t xml:space="preserve">Argumenta que, conforme a la línea jurisprudencial de la Sala Superior </w:t>
      </w:r>
      <w:r w:rsidR="00330EA4" w:rsidRPr="00A41002">
        <w:t>las vertientes que deben tomarse en cuenta para invalidar los resultados de una elección son el aspecto cualit</w:t>
      </w:r>
      <w:r w:rsidR="008D4BEC" w:rsidRPr="00A41002">
        <w:t xml:space="preserve">ativo o cuantitativo, que la violación acreditada sea </w:t>
      </w:r>
      <w:r w:rsidR="00F7114F" w:rsidRPr="00A41002">
        <w:t xml:space="preserve">sustancial o </w:t>
      </w:r>
      <w:r w:rsidR="008D4BEC" w:rsidRPr="00A41002">
        <w:t>grave</w:t>
      </w:r>
      <w:r w:rsidR="00F7114F" w:rsidRPr="00A41002">
        <w:t xml:space="preserve"> y que el resultado sea determinante</w:t>
      </w:r>
      <w:r w:rsidR="007268E4" w:rsidRPr="00A41002">
        <w:t>.</w:t>
      </w:r>
    </w:p>
    <w:p w14:paraId="05963A3E" w14:textId="6ED12E68" w:rsidR="00593F5C" w:rsidRPr="00A41002" w:rsidRDefault="007268E4" w:rsidP="00CA6034">
      <w:pPr>
        <w:pStyle w:val="numerados"/>
        <w:ind w:left="0" w:hanging="1"/>
      </w:pPr>
      <w:r w:rsidRPr="00A41002">
        <w:t>Sin embargo, desde la perspectiva del promovente, los elementos descritos no fueron explicados en la sentencia controvertida</w:t>
      </w:r>
      <w:r w:rsidR="00E741B4" w:rsidRPr="00A41002">
        <w:t xml:space="preserve"> porque el TEEY se limitó a </w:t>
      </w:r>
      <w:r w:rsidR="00696AEE" w:rsidRPr="00A41002">
        <w:t>señalar</w:t>
      </w:r>
      <w:r w:rsidR="00E741B4" w:rsidRPr="00A41002">
        <w:t xml:space="preserve"> de manera escasa que existió una vulneración al principio de certeza</w:t>
      </w:r>
      <w:r w:rsidR="00682398" w:rsidRPr="00A41002">
        <w:t xml:space="preserve">, </w:t>
      </w:r>
      <w:r w:rsidR="004F3A56" w:rsidRPr="00A41002">
        <w:t>también estudió indebidamente el elemento de determinancia porque no</w:t>
      </w:r>
      <w:r w:rsidR="00682398" w:rsidRPr="00A41002">
        <w:t xml:space="preserve"> valoró que la vulneración no afectó a la totalidad de l</w:t>
      </w:r>
      <w:r w:rsidR="00716685" w:rsidRPr="00A41002">
        <w:t xml:space="preserve">os votos, </w:t>
      </w:r>
      <w:r w:rsidR="00273562" w:rsidRPr="00A41002">
        <w:t>sino</w:t>
      </w:r>
      <w:r w:rsidR="00716685" w:rsidRPr="00A41002">
        <w:t xml:space="preserve"> </w:t>
      </w:r>
      <w:r w:rsidR="00DE769E" w:rsidRPr="00A41002">
        <w:t xml:space="preserve">que </w:t>
      </w:r>
      <w:r w:rsidR="00716685" w:rsidRPr="00A41002">
        <w:t xml:space="preserve">únicamente se encontraba </w:t>
      </w:r>
      <w:r w:rsidR="00273562" w:rsidRPr="00A41002">
        <w:t>controvertida</w:t>
      </w:r>
      <w:r w:rsidR="00716685" w:rsidRPr="00A41002">
        <w:t xml:space="preserve"> la interpretación o calificación de los seis votos nulos</w:t>
      </w:r>
      <w:r w:rsidR="00273562" w:rsidRPr="00A41002">
        <w:t>.</w:t>
      </w:r>
      <w:r w:rsidR="008D4BEC" w:rsidRPr="00A41002">
        <w:t xml:space="preserve"> </w:t>
      </w:r>
    </w:p>
    <w:p w14:paraId="1C5E7DB4" w14:textId="69EE4DC8" w:rsidR="00A21705" w:rsidRPr="00A41002" w:rsidRDefault="00A21705" w:rsidP="00CA6034">
      <w:pPr>
        <w:pStyle w:val="numerados"/>
        <w:ind w:left="0" w:hanging="1"/>
      </w:pPr>
      <w:r w:rsidRPr="00A41002">
        <w:t xml:space="preserve">Asimismo, considera que </w:t>
      </w:r>
      <w:r w:rsidR="00CC4EC6" w:rsidRPr="00A41002">
        <w:t>el TEEY dejo de valorar</w:t>
      </w:r>
      <w:r w:rsidR="00E5083B" w:rsidRPr="00A41002">
        <w:t xml:space="preserve"> la sistematicidad, la naturaleza </w:t>
      </w:r>
      <w:r w:rsidR="00BE1086" w:rsidRPr="00A41002">
        <w:t>d</w:t>
      </w:r>
      <w:r w:rsidR="00E5083B" w:rsidRPr="00A41002">
        <w:t>e la conducta</w:t>
      </w:r>
      <w:r w:rsidR="00EF63A5" w:rsidRPr="00A41002">
        <w:t xml:space="preserve">, </w:t>
      </w:r>
      <w:r w:rsidR="003F7521" w:rsidRPr="00A41002">
        <w:t>la magnitud, la generalidad, el nexo causal entre las circunstancias y el resultado electoral.</w:t>
      </w:r>
      <w:r w:rsidR="00E5083B" w:rsidRPr="00A41002">
        <w:t xml:space="preserve"> </w:t>
      </w:r>
    </w:p>
    <w:p w14:paraId="3F1458AD" w14:textId="77777777" w:rsidR="000E37BE" w:rsidRPr="00A41002" w:rsidRDefault="003F7521" w:rsidP="00D63608">
      <w:pPr>
        <w:pStyle w:val="numerados"/>
        <w:ind w:left="0" w:hanging="1"/>
      </w:pPr>
      <w:r w:rsidRPr="00A41002">
        <w:t xml:space="preserve">Lo anterior, </w:t>
      </w:r>
      <w:r w:rsidR="00382485" w:rsidRPr="00A41002">
        <w:t xml:space="preserve">según el actor ha sido sostenido por la Sala Superior en los </w:t>
      </w:r>
      <w:r w:rsidR="00C1029D" w:rsidRPr="00A41002">
        <w:t>asuntos:</w:t>
      </w:r>
      <w:r w:rsidR="009B7567" w:rsidRPr="00A41002">
        <w:t xml:space="preserve"> SUP-REC-522/2015, SUP-REC-297/2015 y SUP-REC-295/2015</w:t>
      </w:r>
      <w:r w:rsidR="00CB7F45" w:rsidRPr="00A41002">
        <w:t xml:space="preserve">, en los </w:t>
      </w:r>
      <w:r w:rsidR="009B7567" w:rsidRPr="00A41002">
        <w:t>cuales ha sostenido que para actualizar la causal gen</w:t>
      </w:r>
      <w:r w:rsidR="009B7567" w:rsidRPr="00A41002">
        <w:rPr>
          <w:rFonts w:cs="Univers"/>
        </w:rPr>
        <w:t>é</w:t>
      </w:r>
      <w:r w:rsidR="009B7567" w:rsidRPr="00A41002">
        <w:t>rica de nulidad de elecci</w:t>
      </w:r>
      <w:r w:rsidR="009B7567" w:rsidRPr="00A41002">
        <w:rPr>
          <w:rFonts w:cs="Univers"/>
        </w:rPr>
        <w:t>ó</w:t>
      </w:r>
      <w:r w:rsidR="009B7567" w:rsidRPr="00A41002">
        <w:t>n</w:t>
      </w:r>
      <w:r w:rsidR="00CB7F45" w:rsidRPr="00A41002">
        <w:t xml:space="preserve"> se debe </w:t>
      </w:r>
      <w:r w:rsidR="000035B3" w:rsidRPr="00A41002">
        <w:t>justificar</w:t>
      </w:r>
      <w:r w:rsidR="009B7567" w:rsidRPr="00A41002">
        <w:t xml:space="preserve"> que hubiese existido una violación de forma generalizada, que sea sustancial, que ocurrió en la jornada o después de esta, que fue de una magnitud suficiente que estuvo </w:t>
      </w:r>
      <w:r w:rsidR="009B7567" w:rsidRPr="00A41002">
        <w:lastRenderedPageBreak/>
        <w:t>plenamente acreditada y que, por tanto, son determinantes para invalidar los resultados electorales.</w:t>
      </w:r>
    </w:p>
    <w:p w14:paraId="71739DEE" w14:textId="0297EACE" w:rsidR="00F9203E" w:rsidRPr="00A41002" w:rsidRDefault="000E37BE" w:rsidP="0058039C">
      <w:pPr>
        <w:pStyle w:val="numerados"/>
        <w:ind w:left="0" w:hanging="1"/>
      </w:pPr>
      <w:r w:rsidRPr="00A41002">
        <w:t>En ese sentido, refiere que e</w:t>
      </w:r>
      <w:r w:rsidR="009B7567" w:rsidRPr="00A41002">
        <w:t>stos aspectos, si bien es cierto fueron argumentados y explicados de forma genérica por el Tribunal responsable al precisar que la sola falta de presencia de los representantes en el recuento fue un elemento suficiente para invalidar los</w:t>
      </w:r>
      <w:r w:rsidRPr="00A41002">
        <w:t xml:space="preserve"> </w:t>
      </w:r>
      <w:r w:rsidR="009B7567" w:rsidRPr="00A41002">
        <w:t>resultados, no obstante, también es cierto que en ningún apartado de su resolución valoró si era posible salvaguardar el resto de actos propios del proceso comicial, tales como el resto de votos que fueron emitidos conforme a derecho y</w:t>
      </w:r>
      <w:r w:rsidR="00F9203E" w:rsidRPr="00A41002">
        <w:t>,</w:t>
      </w:r>
      <w:r w:rsidR="009B7567" w:rsidRPr="00A41002">
        <w:t xml:space="preserve"> en un segundo término</w:t>
      </w:r>
      <w:r w:rsidR="00F9203E" w:rsidRPr="00A41002">
        <w:t>,</w:t>
      </w:r>
      <w:r w:rsidR="009B7567" w:rsidRPr="00A41002">
        <w:t xml:space="preserve"> verificar a partir de las condiciones propias de una nulidad genérica, si efectivamente se colmaron estas para que no existiera</w:t>
      </w:r>
      <w:r w:rsidR="00F9203E" w:rsidRPr="00A41002">
        <w:t xml:space="preserve"> </w:t>
      </w:r>
      <w:r w:rsidR="009B7567" w:rsidRPr="00A41002">
        <w:t>posibilidad de alguna de conservar los actos válidos.</w:t>
      </w:r>
    </w:p>
    <w:p w14:paraId="064C0CEC" w14:textId="762AD130" w:rsidR="009B7567" w:rsidRPr="00A41002" w:rsidRDefault="009B7567" w:rsidP="0058039C">
      <w:pPr>
        <w:pStyle w:val="numerados"/>
        <w:ind w:left="0" w:hanging="1"/>
      </w:pPr>
      <w:r w:rsidRPr="00A41002">
        <w:t>Es así que la omisión de efectuar dicho análisis y argumentación en la resolución que ahora se impugna,</w:t>
      </w:r>
      <w:r w:rsidR="00F9203E" w:rsidRPr="00A41002">
        <w:t xml:space="preserve"> a juicio del actor,</w:t>
      </w:r>
      <w:r w:rsidRPr="00A41002">
        <w:t xml:space="preserve"> demuestra una irregularidad grave, que atenta contra la arbitrariedad por el hecho de proceder a anular un resultado sin antes valorar las características del contexto y establecer las </w:t>
      </w:r>
      <w:r w:rsidR="00611C6E" w:rsidRPr="00A41002">
        <w:t>líneas</w:t>
      </w:r>
      <w:r w:rsidRPr="00A41002">
        <w:t xml:space="preserve"> judiciales correctas y jurisprudenciales que, en este caso, son propias de una causal genérica y, a su vez, explicar por qué se colmaron el resto de elementos y estos fueron superiores a los actos públicos válidamente</w:t>
      </w:r>
      <w:r w:rsidR="00611C6E" w:rsidRPr="00A41002">
        <w:t xml:space="preserve"> celeb</w:t>
      </w:r>
      <w:r w:rsidRPr="00A41002">
        <w:t>rados.</w:t>
      </w:r>
    </w:p>
    <w:p w14:paraId="2FE3AEE7" w14:textId="57509F66" w:rsidR="00BB3D21" w:rsidRPr="00A41002" w:rsidRDefault="00DD5282" w:rsidP="00DD5282">
      <w:pPr>
        <w:pStyle w:val="numerados"/>
        <w:numPr>
          <w:ilvl w:val="0"/>
          <w:numId w:val="0"/>
        </w:numPr>
        <w:rPr>
          <w:b/>
          <w:bCs/>
        </w:rPr>
      </w:pPr>
      <w:r w:rsidRPr="00A41002">
        <w:rPr>
          <w:b/>
          <w:bCs/>
        </w:rPr>
        <w:t>Determinación de esta Sala Regional</w:t>
      </w:r>
    </w:p>
    <w:p w14:paraId="4ABD4A73" w14:textId="69DA44C5" w:rsidR="001A5E70" w:rsidRPr="00A41002" w:rsidRDefault="0080690A" w:rsidP="00CA6034">
      <w:pPr>
        <w:pStyle w:val="numerados"/>
        <w:ind w:left="0" w:hanging="1"/>
        <w:rPr>
          <w:lang w:val="es-419"/>
        </w:rPr>
      </w:pPr>
      <w:r w:rsidRPr="00A41002">
        <w:rPr>
          <w:lang w:val="es-419"/>
        </w:rPr>
        <w:lastRenderedPageBreak/>
        <w:t>Esta Sala Regional</w:t>
      </w:r>
      <w:r w:rsidR="001A5E70" w:rsidRPr="00A41002">
        <w:rPr>
          <w:lang w:val="es-419"/>
        </w:rPr>
        <w:t xml:space="preserve"> determina </w:t>
      </w:r>
      <w:r w:rsidR="001A5E70" w:rsidRPr="00A41002">
        <w:rPr>
          <w:b/>
          <w:bCs/>
          <w:lang w:val="es-419"/>
        </w:rPr>
        <w:t>confirmar</w:t>
      </w:r>
      <w:r w:rsidR="001A5E70" w:rsidRPr="00A41002">
        <w:rPr>
          <w:lang w:val="es-419"/>
        </w:rPr>
        <w:t xml:space="preserve"> la sentencia </w:t>
      </w:r>
      <w:r w:rsidRPr="00A41002">
        <w:rPr>
          <w:lang w:val="es-419"/>
        </w:rPr>
        <w:t>impugnada,</w:t>
      </w:r>
      <w:r w:rsidR="001A5E70" w:rsidRPr="00A41002">
        <w:rPr>
          <w:lang w:val="es-419"/>
        </w:rPr>
        <w:t xml:space="preserve"> pero por razones distintas a las sostenidas por el Tribunal Electoral local</w:t>
      </w:r>
      <w:r w:rsidRPr="00A41002">
        <w:rPr>
          <w:lang w:val="es-419"/>
        </w:rPr>
        <w:t>, tal como se explicará a continuación</w:t>
      </w:r>
      <w:r w:rsidR="001A5E70" w:rsidRPr="00A41002">
        <w:rPr>
          <w:lang w:val="es-419"/>
        </w:rPr>
        <w:t>.</w:t>
      </w:r>
    </w:p>
    <w:p w14:paraId="5A9CDBEE" w14:textId="5C0933F7" w:rsidR="00966308" w:rsidRPr="00A41002" w:rsidRDefault="0080690A" w:rsidP="0080690A">
      <w:pPr>
        <w:pStyle w:val="numerados"/>
        <w:ind w:left="0" w:hanging="1"/>
        <w:rPr>
          <w:lang w:val="es-419"/>
        </w:rPr>
      </w:pPr>
      <w:r w:rsidRPr="00A41002">
        <w:rPr>
          <w:lang w:val="es-419"/>
        </w:rPr>
        <w:t xml:space="preserve">A juicio de </w:t>
      </w:r>
      <w:r w:rsidR="00D73071" w:rsidRPr="00A41002">
        <w:rPr>
          <w:lang w:val="es-419"/>
        </w:rPr>
        <w:t>este órgano jurisdiccional</w:t>
      </w:r>
      <w:r w:rsidRPr="00A41002">
        <w:rPr>
          <w:lang w:val="es-419"/>
        </w:rPr>
        <w:t xml:space="preserve">, </w:t>
      </w:r>
      <w:r w:rsidR="000D0DC5" w:rsidRPr="00A41002">
        <w:rPr>
          <w:lang w:val="es-419"/>
        </w:rPr>
        <w:t>la pretensión del actor</w:t>
      </w:r>
      <w:r w:rsidR="00DD5282" w:rsidRPr="00A41002">
        <w:rPr>
          <w:lang w:val="es-419"/>
        </w:rPr>
        <w:t xml:space="preserve"> resulta </w:t>
      </w:r>
      <w:r w:rsidR="00DD5282" w:rsidRPr="00A41002">
        <w:rPr>
          <w:b/>
          <w:bCs/>
          <w:lang w:val="es-419"/>
        </w:rPr>
        <w:t>infundad</w:t>
      </w:r>
      <w:r w:rsidR="000D0DC5" w:rsidRPr="00A41002">
        <w:rPr>
          <w:b/>
          <w:bCs/>
          <w:lang w:val="es-419"/>
        </w:rPr>
        <w:t>a</w:t>
      </w:r>
      <w:r w:rsidRPr="00A41002">
        <w:rPr>
          <w:b/>
          <w:bCs/>
          <w:lang w:val="es-419"/>
        </w:rPr>
        <w:t xml:space="preserve"> </w:t>
      </w:r>
      <w:r w:rsidRPr="00A41002">
        <w:rPr>
          <w:lang w:val="es-419"/>
        </w:rPr>
        <w:t xml:space="preserve">debido a </w:t>
      </w:r>
      <w:r w:rsidR="00B82805" w:rsidRPr="00A41002">
        <w:rPr>
          <w:lang w:val="es-419"/>
        </w:rPr>
        <w:t>que,</w:t>
      </w:r>
      <w:r w:rsidRPr="00A41002">
        <w:rPr>
          <w:lang w:val="es-419"/>
        </w:rPr>
        <w:t xml:space="preserve"> </w:t>
      </w:r>
      <w:r w:rsidR="00931DC1" w:rsidRPr="00A41002">
        <w:rPr>
          <w:lang w:val="es-419"/>
        </w:rPr>
        <w:t xml:space="preserve">en el </w:t>
      </w:r>
      <w:r w:rsidR="00966308" w:rsidRPr="00A41002">
        <w:rPr>
          <w:lang w:val="es-419"/>
        </w:rPr>
        <w:t>presente caso, no es posible subsanar la vulneración al principio de certeza de los resultados</w:t>
      </w:r>
      <w:r w:rsidR="001737F6" w:rsidRPr="00A41002">
        <w:rPr>
          <w:lang w:val="es-419"/>
        </w:rPr>
        <w:t>,</w:t>
      </w:r>
      <w:r w:rsidR="00966308" w:rsidRPr="00A41002">
        <w:rPr>
          <w:lang w:val="es-419"/>
        </w:rPr>
        <w:t xml:space="preserve"> en la que incurrió la autoridad administrativa ante la omisión de contar con la presencia de las representaciones de las candidaturas durante el recuento realizado por el Consejo Electoral.</w:t>
      </w:r>
    </w:p>
    <w:p w14:paraId="3445EBB0" w14:textId="01F2011B" w:rsidR="008C2FBD" w:rsidRPr="00A41002" w:rsidRDefault="00966308" w:rsidP="00CA6034">
      <w:pPr>
        <w:pStyle w:val="numerados"/>
        <w:ind w:left="0" w:hanging="1"/>
        <w:rPr>
          <w:lang w:val="es-419"/>
        </w:rPr>
      </w:pPr>
      <w:r w:rsidRPr="00A41002">
        <w:rPr>
          <w:lang w:val="es-419"/>
        </w:rPr>
        <w:t xml:space="preserve"> </w:t>
      </w:r>
      <w:r w:rsidR="001737F6" w:rsidRPr="00A41002">
        <w:rPr>
          <w:lang w:val="es-419"/>
        </w:rPr>
        <w:t xml:space="preserve">Lo anterior, </w:t>
      </w:r>
      <w:r w:rsidR="004D50C9" w:rsidRPr="00A41002">
        <w:rPr>
          <w:lang w:val="es-419"/>
        </w:rPr>
        <w:t xml:space="preserve">en atención a </w:t>
      </w:r>
      <w:r w:rsidR="00FA6CDB" w:rsidRPr="00A41002">
        <w:rPr>
          <w:lang w:val="es-419"/>
        </w:rPr>
        <w:t>que</w:t>
      </w:r>
      <w:r w:rsidR="00931DC1" w:rsidRPr="00A41002">
        <w:rPr>
          <w:lang w:val="es-419"/>
        </w:rPr>
        <w:t>,</w:t>
      </w:r>
      <w:r w:rsidR="00FA6CDB" w:rsidRPr="00A41002">
        <w:rPr>
          <w:lang w:val="es-419"/>
        </w:rPr>
        <w:t xml:space="preserve"> de </w:t>
      </w:r>
      <w:r w:rsidR="004D50C9" w:rsidRPr="00A41002">
        <w:rPr>
          <w:lang w:val="es-419"/>
        </w:rPr>
        <w:t xml:space="preserve">la diligencia de apertura de paquete </w:t>
      </w:r>
      <w:r w:rsidR="00666813" w:rsidRPr="00A41002">
        <w:rPr>
          <w:lang w:val="es-419"/>
        </w:rPr>
        <w:t xml:space="preserve">realizada el </w:t>
      </w:r>
      <w:r w:rsidR="007B13D4" w:rsidRPr="00A41002">
        <w:rPr>
          <w:lang w:val="es-419"/>
        </w:rPr>
        <w:t>veinticinco de abril</w:t>
      </w:r>
      <w:r w:rsidR="00D42F28" w:rsidRPr="00A41002">
        <w:rPr>
          <w:lang w:val="es-419"/>
        </w:rPr>
        <w:t xml:space="preserve"> ordenada por esta Sala Regional</w:t>
      </w:r>
      <w:r w:rsidR="00666813" w:rsidRPr="00A41002">
        <w:rPr>
          <w:lang w:val="es-419"/>
        </w:rPr>
        <w:t xml:space="preserve">, se advierte que </w:t>
      </w:r>
      <w:r w:rsidR="000934EA" w:rsidRPr="00A41002">
        <w:rPr>
          <w:b/>
          <w:bCs/>
          <w:lang w:val="es-419"/>
        </w:rPr>
        <w:t>no es posible recalificar los seis votos originalmente calificados como</w:t>
      </w:r>
      <w:r w:rsidR="004E328B" w:rsidRPr="00A41002">
        <w:rPr>
          <w:b/>
          <w:bCs/>
          <w:lang w:val="es-419"/>
        </w:rPr>
        <w:t xml:space="preserve"> nulos</w:t>
      </w:r>
      <w:r w:rsidR="004E328B" w:rsidRPr="00A41002">
        <w:rPr>
          <w:lang w:val="es-419"/>
        </w:rPr>
        <w:t>, como</w:t>
      </w:r>
      <w:r w:rsidR="000934EA" w:rsidRPr="00A41002">
        <w:rPr>
          <w:lang w:val="es-419"/>
        </w:rPr>
        <w:t xml:space="preserve"> </w:t>
      </w:r>
      <w:r w:rsidR="009536C0" w:rsidRPr="00A41002">
        <w:rPr>
          <w:lang w:val="es-419"/>
        </w:rPr>
        <w:t xml:space="preserve">lo pretende el </w:t>
      </w:r>
      <w:r w:rsidR="00EE4775" w:rsidRPr="00A41002">
        <w:rPr>
          <w:lang w:val="es-419"/>
        </w:rPr>
        <w:t>promovente</w:t>
      </w:r>
      <w:r w:rsidR="004E328B" w:rsidRPr="00A41002">
        <w:rPr>
          <w:lang w:val="es-419"/>
        </w:rPr>
        <w:t>,</w:t>
      </w:r>
      <w:r w:rsidR="009536C0" w:rsidRPr="00A41002">
        <w:rPr>
          <w:lang w:val="es-419"/>
        </w:rPr>
        <w:t xml:space="preserve"> </w:t>
      </w:r>
      <w:r w:rsidR="00EE4775" w:rsidRPr="00A41002">
        <w:rPr>
          <w:lang w:val="es-419"/>
        </w:rPr>
        <w:t>al no encontrarse perfectamente identificables dentro del paquete electoral.</w:t>
      </w:r>
    </w:p>
    <w:p w14:paraId="4822B682" w14:textId="77777777" w:rsidR="00D42F28" w:rsidRPr="00A41002" w:rsidRDefault="00D42F28" w:rsidP="00D42F28">
      <w:pPr>
        <w:pStyle w:val="numerados"/>
        <w:ind w:left="0" w:hanging="1"/>
      </w:pPr>
      <w:r w:rsidRPr="00A41002">
        <w:t>En efecto, entre los criterios rectores del sistema de nulidades, se destaca el de conservación de los actos públicos válidamente celebrados, cuya finalidad es preservar aquellos actos de autoridad que resulten válidos, aun cuando estén afectados por algunas irregularidades, siempre que éstas sean menores y, por tanto, insuficientes para invalidarlos.</w:t>
      </w:r>
    </w:p>
    <w:p w14:paraId="76C081F9" w14:textId="73D71304" w:rsidR="00D42F28" w:rsidRPr="00A41002" w:rsidRDefault="00D42F28" w:rsidP="00D42F28">
      <w:pPr>
        <w:pStyle w:val="numerados"/>
        <w:ind w:left="0" w:hanging="1"/>
      </w:pPr>
      <w:r w:rsidRPr="00A41002">
        <w:t xml:space="preserve">Ese criterio se encuentra inmerso en la Jurisprudencia 9/98 de rubro: </w:t>
      </w:r>
      <w:bookmarkStart w:id="52" w:name="TEXTO_09/98"/>
      <w:r w:rsidRPr="00A41002">
        <w:rPr>
          <w:sz w:val="24"/>
          <w:szCs w:val="24"/>
        </w:rPr>
        <w:t>“</w:t>
      </w:r>
      <w:hyperlink r:id="rId8" w:anchor="09/98" w:history="1">
        <w:r w:rsidRPr="00A41002">
          <w:rPr>
            <w:b/>
            <w:bCs/>
            <w:sz w:val="24"/>
            <w:szCs w:val="24"/>
          </w:rPr>
          <w:t xml:space="preserve">PRINCIPIO DE CONSERVACIÓN DE LOS ACTOS PÚBLICOS </w:t>
        </w:r>
        <w:r w:rsidRPr="00A41002">
          <w:rPr>
            <w:b/>
            <w:bCs/>
            <w:sz w:val="24"/>
            <w:szCs w:val="24"/>
          </w:rPr>
          <w:lastRenderedPageBreak/>
          <w:t>VÁLIDAMENTE CELEBRADOS. SU APLICACIÓN EN LA DETERMINACIÓN DE LA NULIDAD DE CIERTA VOTACIÓN, CÓMPUTO O ELECCIÓN”</w:t>
        </w:r>
        <w:r w:rsidR="00C25439" w:rsidRPr="00A41002">
          <w:rPr>
            <w:rStyle w:val="Refdenotaalpie"/>
            <w:rFonts w:eastAsiaTheme="majorEastAsia"/>
          </w:rPr>
          <w:t xml:space="preserve"> </w:t>
        </w:r>
        <w:r w:rsidR="00C25439" w:rsidRPr="00A41002">
          <w:rPr>
            <w:rStyle w:val="Refdenotaalpie"/>
            <w:rFonts w:eastAsiaTheme="majorEastAsia"/>
          </w:rPr>
          <w:footnoteReference w:id="20"/>
        </w:r>
        <w:r w:rsidRPr="00A41002">
          <w:rPr>
            <w:sz w:val="24"/>
            <w:szCs w:val="24"/>
          </w:rPr>
          <w:t>.</w:t>
        </w:r>
      </w:hyperlink>
      <w:bookmarkEnd w:id="52"/>
    </w:p>
    <w:p w14:paraId="52472B1C" w14:textId="77777777" w:rsidR="00D42F28" w:rsidRPr="00A41002" w:rsidRDefault="00D42F28" w:rsidP="00D42F28">
      <w:pPr>
        <w:pStyle w:val="numerados"/>
        <w:ind w:left="0" w:hanging="1"/>
      </w:pPr>
      <w:r w:rsidRPr="00A41002">
        <w:t>Es decir, no basta que se haga valer cualquier irregularidad y como consecuencia se traduzca en automático en la nulidad de la elección, puesto que primero debe analizarse el impacto que tuvo en el resultado de la elección, es decir, el criterio de determinancia.</w:t>
      </w:r>
    </w:p>
    <w:p w14:paraId="0F4DC28B" w14:textId="59291BC1" w:rsidR="00D42F28" w:rsidRPr="00A41002" w:rsidRDefault="00D42F28" w:rsidP="00D42F28">
      <w:pPr>
        <w:pStyle w:val="numerados"/>
        <w:ind w:left="0" w:hanging="1"/>
      </w:pPr>
      <w:r w:rsidRPr="00A41002">
        <w:t xml:space="preserve">Al respecto, la Sala Superior ha sostenido en la Jurisprudencia 39/2002, de rubro: </w:t>
      </w:r>
      <w:r w:rsidRPr="00A41002">
        <w:rPr>
          <w:sz w:val="25"/>
          <w:szCs w:val="25"/>
        </w:rPr>
        <w:t>“</w:t>
      </w:r>
      <w:r w:rsidRPr="00A41002">
        <w:rPr>
          <w:b/>
          <w:bCs/>
          <w:sz w:val="25"/>
          <w:szCs w:val="25"/>
        </w:rPr>
        <w:t>NULIDAD DE ELECCIÓN O DE LA VOTACIÓN RECIBIDA EN UNA CASILLA. CRITERIOS PARA ESTABLECER CUÁNDO UNA IRREGULARIDAD ES DETERMINANTE PARA SU RESULTADO</w:t>
      </w:r>
      <w:r w:rsidRPr="00A41002">
        <w:rPr>
          <w:sz w:val="25"/>
          <w:szCs w:val="25"/>
        </w:rPr>
        <w:t>”</w:t>
      </w:r>
      <w:r w:rsidR="00F75D44" w:rsidRPr="00A41002">
        <w:rPr>
          <w:rStyle w:val="Refdenotaalpie"/>
          <w:rFonts w:eastAsiaTheme="majorEastAsia"/>
        </w:rPr>
        <w:t xml:space="preserve"> </w:t>
      </w:r>
      <w:r w:rsidR="00F75D44" w:rsidRPr="00A41002">
        <w:rPr>
          <w:rStyle w:val="Refdenotaalpie"/>
          <w:rFonts w:eastAsiaTheme="majorEastAsia"/>
        </w:rPr>
        <w:footnoteReference w:id="21"/>
      </w:r>
      <w:r w:rsidRPr="00A41002">
        <w:t>, que para que una irregularidad acreditada sea determinante</w:t>
      </w:r>
      <w:r w:rsidR="00BF19FB" w:rsidRPr="00A41002">
        <w:t xml:space="preserve"> o no para el resultado de la votación recibida en una casilla o de una elección,</w:t>
      </w:r>
      <w:r w:rsidRPr="00A41002">
        <w:t xml:space="preserve"> es necesario que trascienda al normal desarrollo del procedimiento electoral o al resultado de la elección, esto es, que su influencia sea de tal magnitud que haya afectado el resultado electoral definiendo al candidato ganador</w:t>
      </w:r>
      <w:bookmarkStart w:id="53" w:name="_ftnref11"/>
      <w:bookmarkEnd w:id="53"/>
      <w:r w:rsidRPr="00A41002">
        <w:t>.</w:t>
      </w:r>
    </w:p>
    <w:p w14:paraId="19ABEAE6" w14:textId="4F27AC4A" w:rsidR="00D42F28" w:rsidRPr="00A41002" w:rsidRDefault="00D42F28" w:rsidP="003E03EE">
      <w:pPr>
        <w:pStyle w:val="numerados"/>
        <w:ind w:left="0" w:hanging="1"/>
      </w:pPr>
      <w:r w:rsidRPr="00A41002">
        <w:t xml:space="preserve">De igual forma, la referida Sala Superior ha sustentado en la tesis XXXI/2004 de rubro: </w:t>
      </w:r>
      <w:r w:rsidRPr="00A41002">
        <w:rPr>
          <w:b/>
          <w:bCs/>
          <w:sz w:val="24"/>
          <w:szCs w:val="24"/>
        </w:rPr>
        <w:t>“NULIDAD DE ELECCIÓN. FACTORES CUALITATIVO Y CUANTITATIVO DEL CARÁCTER DETERMINANTE DE LA VIOLACIÓN O IRREGULARIDAD”</w:t>
      </w:r>
      <w:r w:rsidR="00F75D44" w:rsidRPr="00A41002">
        <w:rPr>
          <w:rStyle w:val="Refdenotaalpie"/>
          <w:rFonts w:eastAsiaTheme="majorEastAsia"/>
        </w:rPr>
        <w:footnoteReference w:id="22"/>
      </w:r>
      <w:r w:rsidRPr="00A41002">
        <w:rPr>
          <w:sz w:val="24"/>
          <w:szCs w:val="24"/>
        </w:rPr>
        <w:t>,</w:t>
      </w:r>
      <w:r w:rsidRPr="00A41002">
        <w:t xml:space="preserve"> </w:t>
      </w:r>
      <w:r w:rsidR="003B3BD8" w:rsidRPr="00A41002">
        <w:t>que e</w:t>
      </w:r>
      <w:r w:rsidRPr="00A41002">
        <w:t xml:space="preserve">l </w:t>
      </w:r>
      <w:r w:rsidRPr="00A41002">
        <w:rPr>
          <w:b/>
          <w:bCs/>
        </w:rPr>
        <w:t xml:space="preserve">aspecto cualitativo </w:t>
      </w:r>
      <w:r w:rsidRPr="00A41002">
        <w:t xml:space="preserve">atiende a la naturaleza, los caracteres, rasgos o propiedades peculiares </w:t>
      </w:r>
      <w:r w:rsidRPr="00A41002">
        <w:lastRenderedPageBreak/>
        <w:t>que reviste la violación o irregularidad, lo cual conduce a calificarla como grave, esto es, que se está en presencia de una violación sustancial, en la medida en que involucra la conculcación de determinados principios o la vulneración de ciertos valores fundamentales constitucionalmente previstos e indispensables para estimar que se está en presencia de una elección libre y auténtica de carácter democrático (como sería el caso de los principios de legalidad, certeza, objetividad, independencia e imparcialidad en la función estatal electoral, así como el sufragio universal, libre, secreto, directo e igual, o bien, el principio de igualdad de los ciudadanos en el acceso a los cargos públicos o el principio de equidad en las condiciones para la competencia electoral).</w:t>
      </w:r>
    </w:p>
    <w:p w14:paraId="735F4A53" w14:textId="36B417DA" w:rsidR="00D42F28" w:rsidRPr="00A41002" w:rsidRDefault="00D42F28" w:rsidP="00D42F28">
      <w:pPr>
        <w:pStyle w:val="numerados"/>
        <w:ind w:left="0" w:hanging="1"/>
      </w:pPr>
      <w:r w:rsidRPr="00A41002">
        <w:t>Por</w:t>
      </w:r>
      <w:r w:rsidR="002A08C8" w:rsidRPr="00A41002">
        <w:t xml:space="preserve"> </w:t>
      </w:r>
      <w:r w:rsidRPr="00A41002">
        <w:t xml:space="preserve">su parte, el </w:t>
      </w:r>
      <w:r w:rsidRPr="00A41002">
        <w:rPr>
          <w:b/>
          <w:bCs/>
        </w:rPr>
        <w:t>aspecto cuantitativo</w:t>
      </w:r>
      <w:r w:rsidRPr="00A41002">
        <w:t xml:space="preserve"> atiende a una cierta magnitud medible, como puede ser tanto el cúmulo de irregularidades graves o violaciones sustanciales, así como el número cierto o calculable racionalmente de los votos emitidos en forma irregular en la elección respectiva con motivo de tal violación sustancial (ya sea mediante prueba directa o indirecta, como la indiciaria), a fin de establecer si esa irregularidad grave o violación sustancial definió el resultado</w:t>
      </w:r>
      <w:r w:rsidR="009B5EF0" w:rsidRPr="00A41002">
        <w:t xml:space="preserve"> </w:t>
      </w:r>
      <w:r w:rsidRPr="00A41002">
        <w:t>de la votación o de la elección, teniendo como referencia la diferencia entre el primero y el segundo lugar en la misma</w:t>
      </w:r>
      <w:bookmarkStart w:id="54" w:name="_ftnref13"/>
      <w:bookmarkEnd w:id="54"/>
      <w:r w:rsidRPr="00A41002">
        <w:t>.</w:t>
      </w:r>
    </w:p>
    <w:p w14:paraId="29B34B03" w14:textId="5F48C676" w:rsidR="00D42F28" w:rsidRPr="00A41002" w:rsidRDefault="00335D2F" w:rsidP="00D42F28">
      <w:pPr>
        <w:pStyle w:val="numerados"/>
        <w:ind w:left="0" w:hanging="1"/>
      </w:pPr>
      <w:r w:rsidRPr="00A41002">
        <w:t>En ese sentido</w:t>
      </w:r>
      <w:r w:rsidR="00D42F28" w:rsidRPr="00A41002">
        <w:t xml:space="preserve">, los criterios cualitativo y cuantitativo mutuamente se complementan, ya que no son criterios netamente puros, pues el criterio cualitativo si bien atiende a la naturaleza, los caracteres, rasgos o propiedades peculiares que </w:t>
      </w:r>
      <w:r w:rsidR="00D42F28" w:rsidRPr="00A41002">
        <w:lastRenderedPageBreak/>
        <w:t xml:space="preserve">reviste la violación o irregularidad, en la medida en que involucra la conculcación de determinados principios o la vulneración de ciertos valores fundamentales constitucionalmente previstos, no menos cierto es que puede también apoyarse en estadísticas o cifras; y el criterio </w:t>
      </w:r>
      <w:r w:rsidRPr="00A41002">
        <w:t>cuantitativo</w:t>
      </w:r>
      <w:r w:rsidR="00D42F28" w:rsidRPr="00A41002">
        <w:t xml:space="preserve"> si bien atiende a una cierta magnitud medible o el número cierto o calculable racionalmente de los votos emitidos en forma irregular, también lo es que cuando se estima colmado desde este punto de vista,</w:t>
      </w:r>
      <w:r w:rsidRPr="00A41002">
        <w:t xml:space="preserve"> </w:t>
      </w:r>
      <w:r w:rsidR="00D42F28" w:rsidRPr="00A41002">
        <w:t>implícitamente está protegiendo los valores constitucionales; pero lo que define uno y otro, es el carácter que predomina, lo que no implica que el criterio diverso de determinancia esté ausente</w:t>
      </w:r>
      <w:r w:rsidRPr="00A41002">
        <w:rPr>
          <w:rStyle w:val="Refdenotaalpie"/>
        </w:rPr>
        <w:footnoteReference w:id="23"/>
      </w:r>
      <w:r w:rsidR="00D42F28" w:rsidRPr="00A41002">
        <w:t>.</w:t>
      </w:r>
    </w:p>
    <w:p w14:paraId="5E518B7A" w14:textId="77777777" w:rsidR="00D42F28" w:rsidRPr="00A41002" w:rsidRDefault="00D42F28" w:rsidP="00D42F28">
      <w:pPr>
        <w:pStyle w:val="numerados"/>
        <w:ind w:left="0" w:hanging="1"/>
      </w:pPr>
      <w:r w:rsidRPr="00A41002">
        <w:t>Así, la determinancia tiene como finalidad primordial la protección de la voluntad popular y que no cualquier irregularidad tenga como consecuencia la nulidad de una elección, sino que éstas deben ser de una gran magnitud.</w:t>
      </w:r>
    </w:p>
    <w:p w14:paraId="7960BBE8" w14:textId="77777777" w:rsidR="00D42F28" w:rsidRPr="00A41002" w:rsidRDefault="00D42F28" w:rsidP="00D42F28">
      <w:pPr>
        <w:pStyle w:val="numerados"/>
        <w:ind w:left="0" w:hanging="1"/>
      </w:pPr>
      <w:r w:rsidRPr="00A41002">
        <w:t>De manera que, atendiendo a las circunstancias concretas de cada caso, debe buscar que la decisión de anular o validar una elección, se base en el equilibrio de los posibles principios constitucionales en juego.</w:t>
      </w:r>
    </w:p>
    <w:p w14:paraId="0F15A566" w14:textId="628ED857" w:rsidR="00D42F28" w:rsidRPr="00A41002" w:rsidRDefault="00D42F28" w:rsidP="00D42F28">
      <w:pPr>
        <w:pStyle w:val="numerados"/>
        <w:ind w:left="0" w:hanging="1"/>
      </w:pPr>
      <w:r w:rsidRPr="00A41002">
        <w:t>Pues no debe perderse de vista que, la nulidad de una elección es un asunto sumamente delicado, por un lado,</w:t>
      </w:r>
      <w:r w:rsidR="006C1CCB" w:rsidRPr="00A41002">
        <w:t xml:space="preserve"> </w:t>
      </w:r>
      <w:r w:rsidRPr="00A41002">
        <w:t xml:space="preserve">representa una de las sanciones más severas que puede imponer </w:t>
      </w:r>
      <w:r w:rsidRPr="00A41002">
        <w:lastRenderedPageBreak/>
        <w:t>la autoridad</w:t>
      </w:r>
      <w:r w:rsidR="006C1CCB" w:rsidRPr="00A41002">
        <w:t xml:space="preserve"> </w:t>
      </w:r>
      <w:r w:rsidRPr="00A41002">
        <w:t>electoral a fin de asegurar la legalidad de la competencia política y la legitimidad de los resultados.</w:t>
      </w:r>
    </w:p>
    <w:p w14:paraId="6C13F366" w14:textId="0F62DFD4" w:rsidR="00756B3F" w:rsidRPr="00A41002" w:rsidRDefault="00756B3F" w:rsidP="00756B3F">
      <w:pPr>
        <w:pStyle w:val="numerados"/>
        <w:numPr>
          <w:ilvl w:val="0"/>
          <w:numId w:val="0"/>
        </w:numPr>
        <w:rPr>
          <w:b/>
          <w:bCs/>
        </w:rPr>
      </w:pPr>
      <w:r w:rsidRPr="00A41002">
        <w:rPr>
          <w:b/>
          <w:bCs/>
        </w:rPr>
        <w:t>Caso concreto</w:t>
      </w:r>
    </w:p>
    <w:p w14:paraId="117D24F3" w14:textId="14ACA968" w:rsidR="00C866F9" w:rsidRPr="00A41002" w:rsidRDefault="00C866F9" w:rsidP="00A95DA0">
      <w:pPr>
        <w:pStyle w:val="numerados"/>
        <w:ind w:left="0" w:hanging="1"/>
      </w:pPr>
      <w:r w:rsidRPr="00A41002">
        <w:t xml:space="preserve">Como se adelantó, </w:t>
      </w:r>
      <w:r w:rsidR="001A5E70" w:rsidRPr="00A41002">
        <w:rPr>
          <w:lang w:val="es-419"/>
        </w:rPr>
        <w:t>con independencia de lo razonado por el Tribunal Electoral local, en el presente caso</w:t>
      </w:r>
      <w:r w:rsidR="00B419AF" w:rsidRPr="00A41002">
        <w:rPr>
          <w:lang w:val="es-419"/>
        </w:rPr>
        <w:t>,</w:t>
      </w:r>
      <w:r w:rsidR="001A5E70" w:rsidRPr="00A41002">
        <w:t xml:space="preserve"> </w:t>
      </w:r>
      <w:r w:rsidRPr="00A41002">
        <w:t xml:space="preserve">la pretensión del actor resulta </w:t>
      </w:r>
      <w:r w:rsidRPr="00A41002">
        <w:rPr>
          <w:b/>
          <w:bCs/>
        </w:rPr>
        <w:t>infundada</w:t>
      </w:r>
      <w:r w:rsidR="00656C9B" w:rsidRPr="00A41002">
        <w:t xml:space="preserve"> </w:t>
      </w:r>
      <w:r w:rsidR="00166A80" w:rsidRPr="00A41002">
        <w:t>por las consideraciones siguientes</w:t>
      </w:r>
      <w:r w:rsidR="00432A40" w:rsidRPr="00A41002">
        <w:t>.</w:t>
      </w:r>
    </w:p>
    <w:p w14:paraId="3FB69985" w14:textId="32480F3B" w:rsidR="00A95DA0" w:rsidRPr="00A41002" w:rsidRDefault="00A95DA0" w:rsidP="00A95DA0">
      <w:pPr>
        <w:pStyle w:val="numerados"/>
        <w:ind w:left="0" w:hanging="1"/>
      </w:pPr>
      <w:r w:rsidRPr="00A41002">
        <w:t xml:space="preserve">En primer término, </w:t>
      </w:r>
      <w:r w:rsidRPr="00A41002">
        <w:rPr>
          <w:lang w:val="es-419"/>
        </w:rPr>
        <w:t>se considera que no le asiste la razón al</w:t>
      </w:r>
      <w:r w:rsidRPr="00A41002">
        <w:t xml:space="preserve"> promovente cuando señala que el Tribunal Electoral local no verificó si, en términos del artículo 31 del Reglamento de Elección de Autoridades Auxiliares del Ayuntamiento de Mérida, efectivamente las candidaturas involucradas nombraron debidamente representaciones autorizadas por el Consejo Electoral.</w:t>
      </w:r>
    </w:p>
    <w:p w14:paraId="5B2C6C37" w14:textId="77777777" w:rsidR="00A95DA0" w:rsidRPr="00A41002" w:rsidRDefault="00A95DA0" w:rsidP="00A95DA0">
      <w:pPr>
        <w:pStyle w:val="numerados"/>
        <w:ind w:left="0" w:hanging="1"/>
      </w:pPr>
      <w:r w:rsidRPr="00A41002">
        <w:t xml:space="preserve">Es decir, </w:t>
      </w:r>
      <w:r w:rsidRPr="00A41002">
        <w:rPr>
          <w:lang w:val="es-419"/>
        </w:rPr>
        <w:t>aduce</w:t>
      </w:r>
      <w:r w:rsidRPr="00A41002">
        <w:t xml:space="preserve"> que el TEEY no fue exhaustivo al no verificar si efectivamente la candidatura demandante solicitó de manera oportuna nombrar una representación para el proceso comicial, ya que de demostrarse que la parte actora ante la instancia local no solicitó dicha representación, el Tribunal Electoral local se encontraba imposibilitado a procurar la presencia de representaciones en el recuento y en consecuencia anular la elección referida</w:t>
      </w:r>
    </w:p>
    <w:p w14:paraId="52405F35" w14:textId="774D7B18" w:rsidR="00A95DA0" w:rsidRPr="00A41002" w:rsidRDefault="00A95DA0" w:rsidP="00A95DA0">
      <w:pPr>
        <w:pStyle w:val="numerados"/>
        <w:ind w:left="0" w:hanging="1"/>
      </w:pPr>
      <w:r w:rsidRPr="00A41002">
        <w:t xml:space="preserve"> Al respecto, </w:t>
      </w:r>
      <w:r w:rsidR="00871E32" w:rsidRPr="00A41002">
        <w:t>se considera que el actor parte de una premisa equivocada porque</w:t>
      </w:r>
      <w:r w:rsidR="00364D3A" w:rsidRPr="00A41002">
        <w:t>, por una parte</w:t>
      </w:r>
      <w:r w:rsidRPr="00A41002">
        <w:t xml:space="preserve">, del análisis a las constancias de autos, se observa que en la primer acta de </w:t>
      </w:r>
      <w:r w:rsidRPr="00A41002">
        <w:lastRenderedPageBreak/>
        <w:t>escrutinio y cómputo de la elección cuestionada</w:t>
      </w:r>
      <w:r w:rsidRPr="00A41002">
        <w:rPr>
          <w:rStyle w:val="Refdenotaalpie"/>
        </w:rPr>
        <w:footnoteReference w:id="24"/>
      </w:r>
      <w:r w:rsidRPr="00A41002">
        <w:t xml:space="preserve">, levantada por el Consejo Electoral, existe un </w:t>
      </w:r>
      <w:r w:rsidRPr="00A41002">
        <w:rPr>
          <w:lang w:val="es-419"/>
        </w:rPr>
        <w:t>apartado</w:t>
      </w:r>
      <w:r w:rsidRPr="00A41002">
        <w:t xml:space="preserve"> con la leyenda “REPRESENTANTES DE LOS CANDIDATOS ACREDITADOS ANTE LA MESA RECEPTORA”, de la cual, es posible advertir que las candidaturas de Russel Alejandro Borges Santos y Gabina del Rosario Mex Vivas, fueron representadas por Cristina Maribel </w:t>
      </w:r>
      <w:proofErr w:type="spellStart"/>
      <w:r w:rsidRPr="00A41002">
        <w:t>Chunab</w:t>
      </w:r>
      <w:proofErr w:type="spellEnd"/>
      <w:r w:rsidRPr="00A41002">
        <w:t xml:space="preserve"> </w:t>
      </w:r>
      <w:proofErr w:type="spellStart"/>
      <w:r w:rsidRPr="00A41002">
        <w:t>Kantón</w:t>
      </w:r>
      <w:proofErr w:type="spellEnd"/>
      <w:r w:rsidRPr="00A41002">
        <w:t xml:space="preserve"> y Monserrat Guadalupe </w:t>
      </w:r>
      <w:proofErr w:type="spellStart"/>
      <w:r w:rsidRPr="00A41002">
        <w:t>Kantón</w:t>
      </w:r>
      <w:proofErr w:type="spellEnd"/>
      <w:r w:rsidRPr="00A41002">
        <w:t xml:space="preserve"> Rodríguez Domínguez, respectivamente.</w:t>
      </w:r>
    </w:p>
    <w:p w14:paraId="0A915D4F" w14:textId="2B0347CE" w:rsidR="00A95DA0" w:rsidRPr="00A41002" w:rsidRDefault="00637F60" w:rsidP="00A95DA0">
      <w:pPr>
        <w:pStyle w:val="numerados"/>
        <w:ind w:left="0" w:hanging="1"/>
      </w:pPr>
      <w:r w:rsidRPr="00A41002">
        <w:t>En ese sentido</w:t>
      </w:r>
      <w:r w:rsidR="00A95DA0" w:rsidRPr="00A41002">
        <w:t xml:space="preserve">, a juicio de Sala Regional </w:t>
      </w:r>
      <w:r w:rsidRPr="00A41002">
        <w:t>se puede</w:t>
      </w:r>
      <w:r w:rsidR="00A95DA0" w:rsidRPr="00A41002">
        <w:t xml:space="preserve"> concluir, que las candidaturas sí contaron con representaciones</w:t>
      </w:r>
      <w:r w:rsidR="00032FA7" w:rsidRPr="00A41002">
        <w:t xml:space="preserve"> ente </w:t>
      </w:r>
      <w:r w:rsidR="00A95DA0" w:rsidRPr="00A41002">
        <w:t>las mesas receptoras de votación</w:t>
      </w:r>
      <w:r w:rsidR="00032FA7" w:rsidRPr="00A41002">
        <w:t>, con lo cual esa representación también era extensiva al recuento</w:t>
      </w:r>
      <w:r w:rsidR="00A95DA0" w:rsidRPr="00A41002">
        <w:t xml:space="preserve">. </w:t>
      </w:r>
    </w:p>
    <w:p w14:paraId="05B54624" w14:textId="7DD9EE10" w:rsidR="00A95DA0" w:rsidRPr="00A41002" w:rsidRDefault="00A95DA0" w:rsidP="00A95DA0">
      <w:pPr>
        <w:pStyle w:val="numerados"/>
        <w:ind w:left="0" w:hanging="1"/>
      </w:pPr>
      <w:r w:rsidRPr="00A41002">
        <w:t xml:space="preserve">Aunado a lo anterior, el actor pierde de vista que precisamente </w:t>
      </w:r>
      <w:r w:rsidRPr="00A41002">
        <w:rPr>
          <w:lang w:val="es-419"/>
        </w:rPr>
        <w:t>de</w:t>
      </w:r>
      <w:r w:rsidRPr="00A41002">
        <w:t xml:space="preserve"> lo que se dolió la actora ante el Tribunal Electoral local fue que su representante no estuvo presente en el recuento de votos de la elección de </w:t>
      </w:r>
      <w:proofErr w:type="spellStart"/>
      <w:r w:rsidRPr="00A41002">
        <w:t>Xcumpich</w:t>
      </w:r>
      <w:proofErr w:type="spellEnd"/>
      <w:r w:rsidRPr="00A41002">
        <w:t xml:space="preserve">, es decir, </w:t>
      </w:r>
      <w:r w:rsidR="00E62361" w:rsidRPr="00A41002">
        <w:t>parte de los agravios hechos</w:t>
      </w:r>
      <w:r w:rsidRPr="00A41002">
        <w:t xml:space="preserve"> valer ante la instancia local fue la vulneración al principio de certeza</w:t>
      </w:r>
      <w:r w:rsidR="000702C5" w:rsidRPr="00A41002">
        <w:t xml:space="preserve"> por este hecho</w:t>
      </w:r>
      <w:r w:rsidRPr="00A41002">
        <w:t xml:space="preserve">, </w:t>
      </w:r>
      <w:r w:rsidR="00032FA7" w:rsidRPr="00A41002">
        <w:t>ante lo</w:t>
      </w:r>
      <w:r w:rsidRPr="00A41002">
        <w:t xml:space="preserve"> cual, el TEEY</w:t>
      </w:r>
      <w:r w:rsidR="00032FA7" w:rsidRPr="00A41002">
        <w:t>,</w:t>
      </w:r>
      <w:r w:rsidRPr="00A41002">
        <w:t xml:space="preserve"> </w:t>
      </w:r>
      <w:r w:rsidR="00524E25" w:rsidRPr="00A41002">
        <w:t>al analizar la normativa</w:t>
      </w:r>
      <w:r w:rsidRPr="00A41002">
        <w:t xml:space="preserve"> aplicable</w:t>
      </w:r>
      <w:r w:rsidR="00032FA7" w:rsidRPr="00A41002">
        <w:t>,</w:t>
      </w:r>
      <w:r w:rsidRPr="00A41002">
        <w:t xml:space="preserve"> </w:t>
      </w:r>
      <w:r w:rsidR="00524E25" w:rsidRPr="00A41002">
        <w:t>determinó que las candidaturas</w:t>
      </w:r>
      <w:r w:rsidRPr="00A41002">
        <w:t xml:space="preserve"> si tenían derecho a tener representantes durante el recuento de los votos.</w:t>
      </w:r>
    </w:p>
    <w:p w14:paraId="018C7647" w14:textId="1B43CB76" w:rsidR="0029711C" w:rsidRPr="00A41002" w:rsidRDefault="00A95DA0" w:rsidP="00A95DA0">
      <w:pPr>
        <w:pStyle w:val="numerados"/>
        <w:spacing w:before="360" w:after="360"/>
        <w:ind w:left="0" w:firstLine="0"/>
      </w:pPr>
      <w:r w:rsidRPr="00A41002">
        <w:t xml:space="preserve">Por lo anterior, salvo que hubiera habido prueba en contrario, </w:t>
      </w:r>
      <w:r w:rsidR="00136CA7" w:rsidRPr="00A41002">
        <w:t xml:space="preserve">el TEEY </w:t>
      </w:r>
      <w:r w:rsidR="00032FA7" w:rsidRPr="00A41002">
        <w:t xml:space="preserve">no podría </w:t>
      </w:r>
      <w:r w:rsidR="00136CA7" w:rsidRPr="00A41002">
        <w:t>cuestionar</w:t>
      </w:r>
      <w:r w:rsidRPr="00A41002">
        <w:t xml:space="preserve"> si la actora local registró o no debidamente a su representante, </w:t>
      </w:r>
      <w:r w:rsidR="00032FA7" w:rsidRPr="00A41002">
        <w:t xml:space="preserve">máxime que el alegato de </w:t>
      </w:r>
      <w:r w:rsidR="00032FA7" w:rsidRPr="00A41002">
        <w:lastRenderedPageBreak/>
        <w:t>ella</w:t>
      </w:r>
      <w:r w:rsidR="006F6ADD" w:rsidRPr="00A41002">
        <w:t xml:space="preserve"> radicaba en </w:t>
      </w:r>
      <w:r w:rsidR="002865EA" w:rsidRPr="00A41002">
        <w:t>controvertir que su representación no estuvo presente durante el recuento realizado por el Consejo Electoral</w:t>
      </w:r>
      <w:r w:rsidR="0029711C" w:rsidRPr="00A41002">
        <w:t>.</w:t>
      </w:r>
    </w:p>
    <w:p w14:paraId="48AFCDE9" w14:textId="46F7BD5B" w:rsidR="00A802AA" w:rsidRPr="00A41002" w:rsidRDefault="00A802AA" w:rsidP="00A95DA0">
      <w:pPr>
        <w:pStyle w:val="numerados"/>
        <w:spacing w:before="360" w:after="360"/>
        <w:ind w:left="0" w:firstLine="0"/>
      </w:pPr>
      <w:r w:rsidRPr="00A41002">
        <w:t>De igual forma, el actor parte de una premisa inexacta al considerar que no se retomó lo resuelto en los expedientes SUP-REC-522/2015,</w:t>
      </w:r>
      <w:r w:rsidR="00C42639" w:rsidRPr="00A41002">
        <w:t xml:space="preserve"> SUP-REC-297/2015 Y SUP-REC-295/2015 pues, tal como él mismo lo refiere, en dichos asuntos se hacían valer causales genéricas de nulidad</w:t>
      </w:r>
      <w:r w:rsidR="0010479A" w:rsidRPr="00A41002">
        <w:t xml:space="preserve"> de elección</w:t>
      </w:r>
      <w:r w:rsidR="00C42639" w:rsidRPr="00A41002">
        <w:t xml:space="preserve">, lo que en el caso no acontece ya que únicamente se </w:t>
      </w:r>
      <w:r w:rsidR="007D65BF" w:rsidRPr="00A41002">
        <w:t>analizó</w:t>
      </w:r>
      <w:r w:rsidR="00C42639" w:rsidRPr="00A41002">
        <w:t xml:space="preserve"> la vulneración a principios constitucionales como el de certeza.</w:t>
      </w:r>
    </w:p>
    <w:p w14:paraId="1B5C9DF4" w14:textId="4CD048CF" w:rsidR="008B58AB" w:rsidRPr="00A41002" w:rsidRDefault="006D2BC7" w:rsidP="005F1991">
      <w:pPr>
        <w:pStyle w:val="numerados"/>
        <w:spacing w:before="360" w:after="360"/>
        <w:ind w:left="0" w:firstLine="0"/>
      </w:pPr>
      <w:r w:rsidRPr="00A41002">
        <w:t>Por otra parte, se considera que</w:t>
      </w:r>
      <w:r w:rsidR="00032FA7" w:rsidRPr="00A41002">
        <w:t xml:space="preserve"> </w:t>
      </w:r>
      <w:r w:rsidRPr="00A41002">
        <w:t xml:space="preserve">el TEEY </w:t>
      </w:r>
      <w:r w:rsidR="00032FA7" w:rsidRPr="00A41002">
        <w:t>no tendría</w:t>
      </w:r>
      <w:r w:rsidRPr="00A41002">
        <w:t xml:space="preserve"> otras alternativas </w:t>
      </w:r>
      <w:r w:rsidR="00032FA7" w:rsidRPr="00A41002">
        <w:t xml:space="preserve">diferentes a la nulidad de la elección, pues </w:t>
      </w:r>
      <w:r w:rsidRPr="00A41002">
        <w:t>no es posible recalificar los seis votos originalmente calificados como nulos y con ello dotar de certeza los resultados de la elección</w:t>
      </w:r>
      <w:r w:rsidR="008B58AB" w:rsidRPr="00A41002">
        <w:t>.</w:t>
      </w:r>
    </w:p>
    <w:p w14:paraId="600863E3" w14:textId="5845F5F6" w:rsidR="005F1991" w:rsidRPr="00A41002" w:rsidRDefault="00DC1414" w:rsidP="005F1991">
      <w:pPr>
        <w:pStyle w:val="numerados"/>
        <w:spacing w:before="360" w:after="360"/>
        <w:ind w:left="0" w:firstLine="0"/>
      </w:pPr>
      <w:r w:rsidRPr="00A41002">
        <w:t>Ahora bien, en</w:t>
      </w:r>
      <w:r w:rsidR="00756B3F" w:rsidRPr="00A41002">
        <w:t xml:space="preserve"> el caso, </w:t>
      </w:r>
      <w:r w:rsidR="00243AD0" w:rsidRPr="00A41002">
        <w:t xml:space="preserve">podemos advertir de las constancias de autos </w:t>
      </w:r>
      <w:r w:rsidR="005E4B35" w:rsidRPr="00A41002">
        <w:t>que,</w:t>
      </w:r>
      <w:r w:rsidR="00243AD0" w:rsidRPr="00A41002">
        <w:t xml:space="preserve"> </w:t>
      </w:r>
      <w:r w:rsidR="00DB16D2" w:rsidRPr="00A41002">
        <w:t xml:space="preserve">durante la sesión permanente del Consejo Electoral, </w:t>
      </w:r>
      <w:r w:rsidR="00243AD0" w:rsidRPr="00A41002">
        <w:t xml:space="preserve">en la elección </w:t>
      </w:r>
      <w:r w:rsidR="00267155" w:rsidRPr="00A41002">
        <w:t xml:space="preserve">de la comisaría de </w:t>
      </w:r>
      <w:proofErr w:type="spellStart"/>
      <w:r w:rsidR="00267155" w:rsidRPr="00A41002">
        <w:t>Xcumpich</w:t>
      </w:r>
      <w:proofErr w:type="spellEnd"/>
      <w:r w:rsidR="00DB16D2" w:rsidRPr="00A41002">
        <w:t xml:space="preserve"> al existir un empate</w:t>
      </w:r>
      <w:r w:rsidR="00AB1FB4" w:rsidRPr="00A41002">
        <w:t xml:space="preserve"> en los resultados, la autoridad administrativa procedió </w:t>
      </w:r>
      <w:r w:rsidR="004A7220" w:rsidRPr="00A41002">
        <w:t xml:space="preserve">a realizar un nuevo escrutinio y cómputo </w:t>
      </w:r>
      <w:r w:rsidR="006A0E24" w:rsidRPr="00A41002">
        <w:t>total</w:t>
      </w:r>
      <w:r w:rsidR="005F1991" w:rsidRPr="00A41002">
        <w:t xml:space="preserve"> del paquete electoral, confirmándose el empate referido; sin embargo, al analizar los votos que</w:t>
      </w:r>
      <w:r w:rsidR="003735FA" w:rsidRPr="00A41002">
        <w:t xml:space="preserve"> originalmente</w:t>
      </w:r>
      <w:r w:rsidR="005F1991" w:rsidRPr="00A41002">
        <w:t xml:space="preserve"> fueron calificados como nulos por la mesa receptora, el Consejo Electoral determinó que tres votos resultaban válidos, dos de ellos correspondían al candidato </w:t>
      </w:r>
      <w:proofErr w:type="spellStart"/>
      <w:r w:rsidR="005F1991" w:rsidRPr="00A41002">
        <w:t>Rusell</w:t>
      </w:r>
      <w:proofErr w:type="spellEnd"/>
      <w:r w:rsidR="005F1991" w:rsidRPr="00A41002">
        <w:t xml:space="preserve"> Alejandro Borges Santos, y uno correspondía a la candidata Gabina del Rosario Mex Vivas, </w:t>
      </w:r>
      <w:r w:rsidR="005F1991" w:rsidRPr="00A41002">
        <w:lastRenderedPageBreak/>
        <w:t>confirmándose la nulidad solo en tres de los seis votos originalmente calificados como nulos.</w:t>
      </w:r>
    </w:p>
    <w:p w14:paraId="07642D92" w14:textId="7F498320" w:rsidR="00756B3F" w:rsidRPr="00A41002" w:rsidRDefault="005F1991" w:rsidP="005F1991">
      <w:pPr>
        <w:pStyle w:val="numerados"/>
        <w:ind w:left="0" w:hanging="1"/>
      </w:pPr>
      <w:r w:rsidRPr="00A41002">
        <w:t xml:space="preserve">En ese sentido, el Consejo Electoral determinó que el candidato </w:t>
      </w:r>
      <w:proofErr w:type="spellStart"/>
      <w:r w:rsidRPr="00A41002">
        <w:t>Rusell</w:t>
      </w:r>
      <w:proofErr w:type="spellEnd"/>
      <w:r w:rsidRPr="00A41002">
        <w:t xml:space="preserve"> Alejandro Borges Santos resultaba electo como comisario de </w:t>
      </w:r>
      <w:bookmarkStart w:id="55" w:name="_Hlk195124179"/>
      <w:proofErr w:type="spellStart"/>
      <w:r w:rsidRPr="00A41002">
        <w:t>Xcumpich</w:t>
      </w:r>
      <w:proofErr w:type="spellEnd"/>
      <w:r w:rsidRPr="00A41002">
        <w:t xml:space="preserve"> en Mérida, Yucatán</w:t>
      </w:r>
      <w:bookmarkEnd w:id="55"/>
      <w:r w:rsidRPr="00A41002">
        <w:t>, al haber obtenido trescientos veinte votos, prevaleciendo sobre la ciudadana Gabina del Rosario Mex que había obtenido trescientos diecinueve.</w:t>
      </w:r>
    </w:p>
    <w:p w14:paraId="08F4C82D" w14:textId="2CA916EB" w:rsidR="005F1991" w:rsidRPr="00A41002" w:rsidRDefault="005F1991" w:rsidP="005F1991">
      <w:pPr>
        <w:pStyle w:val="numerados"/>
        <w:ind w:left="0" w:hanging="1"/>
      </w:pPr>
      <w:r w:rsidRPr="00A41002">
        <w:t xml:space="preserve">Ahora bien, </w:t>
      </w:r>
      <w:r w:rsidR="001B3417" w:rsidRPr="00A41002">
        <w:t xml:space="preserve">de la demanda promovida por la otrora candidata Gabina del Rosario Mex </w:t>
      </w:r>
      <w:r w:rsidR="006A5D2C" w:rsidRPr="00A41002">
        <w:t xml:space="preserve">Vivas </w:t>
      </w:r>
      <w:r w:rsidR="001B3417" w:rsidRPr="00A41002">
        <w:t>presentada ante el TEEY en contra de la determinación anterior, es posible advertir que</w:t>
      </w:r>
      <w:r w:rsidR="00933841" w:rsidRPr="00A41002">
        <w:t xml:space="preserve"> la promovente</w:t>
      </w:r>
      <w:r w:rsidR="001151DE" w:rsidRPr="00A41002">
        <w:t>, entre otras cuestiones,</w:t>
      </w:r>
      <w:r w:rsidR="00933841" w:rsidRPr="00A41002">
        <w:t xml:space="preserve"> </w:t>
      </w:r>
      <w:r w:rsidR="001151DE" w:rsidRPr="00A41002">
        <w:t xml:space="preserve">argumentó que el citado recuento no se había llevado a cabo correctamente </w:t>
      </w:r>
      <w:r w:rsidR="00585463" w:rsidRPr="00A41002">
        <w:t>y solicitó que se llevara a cabo nuevamente.</w:t>
      </w:r>
    </w:p>
    <w:p w14:paraId="039C4007" w14:textId="4B1C4CE7" w:rsidR="009536C0" w:rsidRPr="00A41002" w:rsidRDefault="00953E55" w:rsidP="00CA6034">
      <w:pPr>
        <w:pStyle w:val="numerados"/>
        <w:ind w:left="0" w:hanging="1"/>
        <w:rPr>
          <w:lang w:val="es-419"/>
        </w:rPr>
      </w:pPr>
      <w:r w:rsidRPr="00A41002">
        <w:rPr>
          <w:lang w:val="es-419"/>
        </w:rPr>
        <w:t xml:space="preserve">Sin embargo, de la sentencia controvertida </w:t>
      </w:r>
      <w:r w:rsidR="00281FA1" w:rsidRPr="00A41002">
        <w:rPr>
          <w:lang w:val="es-419"/>
        </w:rPr>
        <w:t xml:space="preserve">se desprende que el Tribunal responsable se limitó a analizar </w:t>
      </w:r>
      <w:r w:rsidR="00976086" w:rsidRPr="00A41002">
        <w:rPr>
          <w:lang w:val="es-419"/>
        </w:rPr>
        <w:t>que,</w:t>
      </w:r>
      <w:r w:rsidR="00975CFA" w:rsidRPr="00A41002">
        <w:rPr>
          <w:lang w:val="es-419"/>
        </w:rPr>
        <w:t xml:space="preserve"> </w:t>
      </w:r>
      <w:r w:rsidR="00030D91" w:rsidRPr="00A41002">
        <w:rPr>
          <w:bCs/>
          <w:iCs/>
        </w:rPr>
        <w:t xml:space="preserve">si bien el </w:t>
      </w:r>
      <w:r w:rsidR="00976086" w:rsidRPr="00A41002">
        <w:t>Reglamento de Elección de Autoridades Auxiliares del Ayuntamiento del Municipio de Mérida</w:t>
      </w:r>
      <w:r w:rsidR="00976086" w:rsidRPr="00A41002">
        <w:rPr>
          <w:bCs/>
          <w:iCs/>
        </w:rPr>
        <w:t xml:space="preserve"> </w:t>
      </w:r>
      <w:r w:rsidR="00030D91" w:rsidRPr="00A41002">
        <w:rPr>
          <w:bCs/>
          <w:iCs/>
        </w:rPr>
        <w:t>no prev</w:t>
      </w:r>
      <w:r w:rsidR="00855CC6" w:rsidRPr="00A41002">
        <w:rPr>
          <w:bCs/>
          <w:iCs/>
        </w:rPr>
        <w:t>eía</w:t>
      </w:r>
      <w:r w:rsidR="00030D91" w:rsidRPr="00A41002">
        <w:rPr>
          <w:bCs/>
          <w:iCs/>
        </w:rPr>
        <w:t xml:space="preserve"> la figura de representaciones ante el Consejo Electoral, </w:t>
      </w:r>
      <w:r w:rsidR="00976086" w:rsidRPr="00A41002">
        <w:rPr>
          <w:bCs/>
          <w:iCs/>
        </w:rPr>
        <w:t xml:space="preserve">en </w:t>
      </w:r>
      <w:r w:rsidR="00030D91" w:rsidRPr="00A41002">
        <w:rPr>
          <w:bCs/>
          <w:iCs/>
        </w:rPr>
        <w:t xml:space="preserve">los casos donde </w:t>
      </w:r>
      <w:r w:rsidR="00976086" w:rsidRPr="00A41002">
        <w:rPr>
          <w:bCs/>
          <w:iCs/>
        </w:rPr>
        <w:t xml:space="preserve">se </w:t>
      </w:r>
      <w:r w:rsidR="00030D91" w:rsidRPr="00A41002">
        <w:rPr>
          <w:bCs/>
          <w:iCs/>
        </w:rPr>
        <w:t>amerit</w:t>
      </w:r>
      <w:r w:rsidR="00976086" w:rsidRPr="00A41002">
        <w:rPr>
          <w:bCs/>
          <w:iCs/>
        </w:rPr>
        <w:t>ara</w:t>
      </w:r>
      <w:r w:rsidR="00030D91" w:rsidRPr="00A41002">
        <w:rPr>
          <w:bCs/>
          <w:iCs/>
        </w:rPr>
        <w:t xml:space="preserve"> recuento total de votos o nuevo escrutinio se deb</w:t>
      </w:r>
      <w:r w:rsidR="00976086" w:rsidRPr="00A41002">
        <w:rPr>
          <w:bCs/>
          <w:iCs/>
        </w:rPr>
        <w:t>ía</w:t>
      </w:r>
      <w:r w:rsidR="00030D91" w:rsidRPr="00A41002">
        <w:rPr>
          <w:bCs/>
          <w:iCs/>
        </w:rPr>
        <w:t xml:space="preserve"> tutelar el debido proceso de recuento de votos a fin de garantizar el principio de certeza</w:t>
      </w:r>
      <w:r w:rsidR="00976086" w:rsidRPr="00A41002">
        <w:rPr>
          <w:bCs/>
          <w:iCs/>
        </w:rPr>
        <w:t>.</w:t>
      </w:r>
    </w:p>
    <w:p w14:paraId="25225182" w14:textId="4772E337" w:rsidR="004B362E" w:rsidRPr="00A41002" w:rsidRDefault="00976086" w:rsidP="00CA6034">
      <w:pPr>
        <w:pStyle w:val="numerados"/>
        <w:ind w:left="0" w:hanging="1"/>
        <w:rPr>
          <w:lang w:val="es-419"/>
        </w:rPr>
      </w:pPr>
      <w:r w:rsidRPr="00A41002">
        <w:rPr>
          <w:lang w:val="es-419"/>
        </w:rPr>
        <w:t>En ese sentido, concluyó que</w:t>
      </w:r>
      <w:r w:rsidR="00B20B53" w:rsidRPr="00A41002">
        <w:rPr>
          <w:lang w:val="es-419"/>
        </w:rPr>
        <w:t xml:space="preserve"> en el caso se había vulnerado el principio de certeza</w:t>
      </w:r>
      <w:r w:rsidR="00855CC6" w:rsidRPr="00A41002">
        <w:rPr>
          <w:lang w:val="es-419"/>
        </w:rPr>
        <w:t xml:space="preserve">, ya que durante el </w:t>
      </w:r>
      <w:r w:rsidR="003B29B4" w:rsidRPr="00A41002">
        <w:rPr>
          <w:lang w:val="es-419"/>
        </w:rPr>
        <w:t xml:space="preserve">nuevo escrutinio y cómputo realizado por el Consejo Electoral en donde se </w:t>
      </w:r>
      <w:r w:rsidR="00687937" w:rsidRPr="00A41002">
        <w:rPr>
          <w:lang w:val="es-419"/>
        </w:rPr>
        <w:t xml:space="preserve">rompió </w:t>
      </w:r>
      <w:r w:rsidR="00687937" w:rsidRPr="00A41002">
        <w:rPr>
          <w:lang w:val="es-419"/>
        </w:rPr>
        <w:lastRenderedPageBreak/>
        <w:t>el empate de la elección</w:t>
      </w:r>
      <w:r w:rsidR="00C4631B" w:rsidRPr="00A41002">
        <w:rPr>
          <w:lang w:val="es-419"/>
        </w:rPr>
        <w:t>,</w:t>
      </w:r>
      <w:r w:rsidR="00687937" w:rsidRPr="00A41002">
        <w:rPr>
          <w:lang w:val="es-419"/>
        </w:rPr>
        <w:t xml:space="preserve"> no habían estado presentes las representaciones de las candidaturas que obtuvieron el primer y segundo lugar</w:t>
      </w:r>
      <w:r w:rsidR="00747B09" w:rsidRPr="00A41002">
        <w:rPr>
          <w:lang w:val="es-419"/>
        </w:rPr>
        <w:t xml:space="preserve">, por lo que no existía certeza </w:t>
      </w:r>
      <w:r w:rsidR="003271C9" w:rsidRPr="00A41002">
        <w:rPr>
          <w:bCs/>
          <w:iCs/>
        </w:rPr>
        <w:t xml:space="preserve">sobre la forma en que se interpretaron los seis votos nulos que obraban en el paquete, los cuales, a la postre, se calificaron tres como válidos, mismos que se distribuyeron dos a favor </w:t>
      </w:r>
      <w:proofErr w:type="spellStart"/>
      <w:r w:rsidR="003271C9" w:rsidRPr="00A41002">
        <w:rPr>
          <w:bCs/>
          <w:iCs/>
        </w:rPr>
        <w:t>Rusell</w:t>
      </w:r>
      <w:proofErr w:type="spellEnd"/>
      <w:r w:rsidR="003271C9" w:rsidRPr="00A41002">
        <w:rPr>
          <w:bCs/>
          <w:iCs/>
        </w:rPr>
        <w:t xml:space="preserve"> Alejandro Borges Santos y uno a favor de Gabina del Rosario Mex </w:t>
      </w:r>
      <w:r w:rsidR="006A5D2C" w:rsidRPr="00A41002">
        <w:rPr>
          <w:bCs/>
          <w:iCs/>
        </w:rPr>
        <w:t>V</w:t>
      </w:r>
      <w:r w:rsidR="003271C9" w:rsidRPr="00A41002">
        <w:rPr>
          <w:bCs/>
          <w:iCs/>
        </w:rPr>
        <w:t>ivas.</w:t>
      </w:r>
    </w:p>
    <w:p w14:paraId="1EC6E2DE" w14:textId="65CE3EC8" w:rsidR="00354CAF" w:rsidRPr="00A41002" w:rsidRDefault="00032FA7" w:rsidP="00241BC2">
      <w:pPr>
        <w:pStyle w:val="numerados"/>
        <w:ind w:left="0" w:hanging="1"/>
        <w:rPr>
          <w:lang w:val="es-419"/>
        </w:rPr>
      </w:pPr>
      <w:r w:rsidRPr="00A41002">
        <w:rPr>
          <w:bCs/>
          <w:iCs/>
        </w:rPr>
        <w:t>No obstante, si bien,</w:t>
      </w:r>
      <w:r w:rsidR="00537609" w:rsidRPr="00A41002">
        <w:rPr>
          <w:bCs/>
          <w:iCs/>
        </w:rPr>
        <w:t xml:space="preserve"> de la sustanciación del juicio de la ciudadanía local no es posible desprender que el TEEY se haya allegado de elementos que le permitieran establecer s</w:t>
      </w:r>
      <w:r w:rsidR="00CD2883" w:rsidRPr="00A41002">
        <w:rPr>
          <w:bCs/>
          <w:iCs/>
        </w:rPr>
        <w:t>i</w:t>
      </w:r>
      <w:r w:rsidR="00903BD0" w:rsidRPr="00A41002">
        <w:rPr>
          <w:bCs/>
          <w:iCs/>
        </w:rPr>
        <w:t>,</w:t>
      </w:r>
      <w:r w:rsidR="00CD2883" w:rsidRPr="00A41002">
        <w:rPr>
          <w:bCs/>
          <w:iCs/>
        </w:rPr>
        <w:t xml:space="preserve"> como solicitó la </w:t>
      </w:r>
      <w:r w:rsidR="00AB5FB2" w:rsidRPr="00A41002">
        <w:rPr>
          <w:bCs/>
          <w:iCs/>
        </w:rPr>
        <w:t>actora</w:t>
      </w:r>
      <w:r w:rsidR="00903BD0" w:rsidRPr="00A41002">
        <w:rPr>
          <w:bCs/>
          <w:iCs/>
        </w:rPr>
        <w:t>,</w:t>
      </w:r>
      <w:r w:rsidR="00CD2883" w:rsidRPr="00A41002">
        <w:rPr>
          <w:bCs/>
          <w:iCs/>
        </w:rPr>
        <w:t xml:space="preserve"> existían las condiciones necesarias para llevar a cabo el recuento </w:t>
      </w:r>
      <w:r w:rsidR="00903BD0" w:rsidRPr="00A41002">
        <w:rPr>
          <w:bCs/>
          <w:iCs/>
        </w:rPr>
        <w:t>requerido</w:t>
      </w:r>
      <w:r w:rsidR="001565FC" w:rsidRPr="00A41002">
        <w:rPr>
          <w:bCs/>
          <w:iCs/>
        </w:rPr>
        <w:t xml:space="preserve"> ante esa instancia jurisdiccional y así poder </w:t>
      </w:r>
      <w:r w:rsidR="00903BD0" w:rsidRPr="00A41002">
        <w:rPr>
          <w:bCs/>
          <w:iCs/>
        </w:rPr>
        <w:t>determinar</w:t>
      </w:r>
      <w:r w:rsidR="001565FC" w:rsidRPr="00A41002">
        <w:rPr>
          <w:bCs/>
          <w:iCs/>
        </w:rPr>
        <w:t xml:space="preserve"> si era posible subsanar la vulneración al principio de certeza </w:t>
      </w:r>
      <w:r w:rsidR="00903BD0" w:rsidRPr="00A41002">
        <w:rPr>
          <w:bCs/>
          <w:iCs/>
        </w:rPr>
        <w:t xml:space="preserve">en la que incurrió </w:t>
      </w:r>
      <w:r w:rsidR="00354CAF" w:rsidRPr="00A41002">
        <w:rPr>
          <w:bCs/>
          <w:iCs/>
        </w:rPr>
        <w:t>el Consejo Electoral al no contar con la presencia de las representaciones de las candidaturas durante el nuevo escrutinio y cómputo de la elección</w:t>
      </w:r>
      <w:r w:rsidR="00241BC2" w:rsidRPr="00A41002">
        <w:rPr>
          <w:bCs/>
          <w:iCs/>
        </w:rPr>
        <w:t>, lo cual</w:t>
      </w:r>
      <w:r w:rsidR="00AA6BA0" w:rsidRPr="00A41002">
        <w:rPr>
          <w:bCs/>
          <w:iCs/>
        </w:rPr>
        <w:t>,</w:t>
      </w:r>
      <w:r w:rsidR="00241BC2" w:rsidRPr="00A41002">
        <w:rPr>
          <w:bCs/>
          <w:iCs/>
        </w:rPr>
        <w:t xml:space="preserve"> ciertamente resultaba indispensable para </w:t>
      </w:r>
      <w:r w:rsidR="00D4425E" w:rsidRPr="00A41002">
        <w:rPr>
          <w:bCs/>
          <w:iCs/>
        </w:rPr>
        <w:t xml:space="preserve">que </w:t>
      </w:r>
      <w:r w:rsidR="00AB3D26" w:rsidRPr="00A41002">
        <w:rPr>
          <w:bCs/>
          <w:iCs/>
        </w:rPr>
        <w:t xml:space="preserve">las </w:t>
      </w:r>
      <w:r w:rsidR="00961EA2" w:rsidRPr="00A41002">
        <w:rPr>
          <w:bCs/>
          <w:iCs/>
        </w:rPr>
        <w:t>candidaturas pudieran, en su caso, objetar la calificación de los votos nulos recalificados</w:t>
      </w:r>
      <w:r w:rsidR="00235FAB" w:rsidRPr="00A41002">
        <w:rPr>
          <w:bCs/>
          <w:iCs/>
        </w:rPr>
        <w:t xml:space="preserve"> y que dieron como resultado el desempate en los resultados</w:t>
      </w:r>
      <w:r w:rsidR="00BB047F" w:rsidRPr="00A41002">
        <w:rPr>
          <w:bCs/>
          <w:iCs/>
        </w:rPr>
        <w:t xml:space="preserve">, lo cierto es que una vez llevado </w:t>
      </w:r>
      <w:r w:rsidR="00F72B6D" w:rsidRPr="00A41002">
        <w:rPr>
          <w:bCs/>
          <w:iCs/>
        </w:rPr>
        <w:t xml:space="preserve">a cabo </w:t>
      </w:r>
      <w:r w:rsidR="00BB047F" w:rsidRPr="00A41002">
        <w:rPr>
          <w:bCs/>
          <w:iCs/>
        </w:rPr>
        <w:t xml:space="preserve">tal recuento </w:t>
      </w:r>
      <w:r w:rsidR="00F72B6D" w:rsidRPr="00A41002">
        <w:rPr>
          <w:bCs/>
          <w:iCs/>
        </w:rPr>
        <w:t xml:space="preserve">por el Consejo Electoral </w:t>
      </w:r>
      <w:r w:rsidR="00BB047F" w:rsidRPr="00A41002">
        <w:rPr>
          <w:bCs/>
          <w:iCs/>
        </w:rPr>
        <w:t>dejaron de existir condiciones para poder recalificar los votos que marcaron la diferencia</w:t>
      </w:r>
      <w:r w:rsidR="00F72B6D" w:rsidRPr="00A41002">
        <w:rPr>
          <w:bCs/>
          <w:iCs/>
        </w:rPr>
        <w:t xml:space="preserve"> como se puede desprender de la diligencia de apertura de paquete ordenada por esta Sala Regional</w:t>
      </w:r>
      <w:r w:rsidR="00BB047F" w:rsidRPr="00A41002">
        <w:rPr>
          <w:bCs/>
          <w:iCs/>
        </w:rPr>
        <w:t xml:space="preserve">. </w:t>
      </w:r>
    </w:p>
    <w:p w14:paraId="64B49A7C" w14:textId="53926F6A" w:rsidR="0008235E" w:rsidRPr="00A41002" w:rsidRDefault="00BB047F" w:rsidP="00CA6034">
      <w:pPr>
        <w:pStyle w:val="numerados"/>
        <w:ind w:left="0" w:hanging="1"/>
        <w:rPr>
          <w:lang w:val="es-419"/>
        </w:rPr>
      </w:pPr>
      <w:r w:rsidRPr="00A41002">
        <w:rPr>
          <w:lang w:val="es-419"/>
        </w:rPr>
        <w:t>En efecto</w:t>
      </w:r>
      <w:r w:rsidR="00167645" w:rsidRPr="00A41002">
        <w:rPr>
          <w:lang w:val="es-419"/>
        </w:rPr>
        <w:t xml:space="preserve">, lo </w:t>
      </w:r>
      <w:r w:rsidR="00167645" w:rsidRPr="00A41002">
        <w:rPr>
          <w:b/>
          <w:bCs/>
          <w:lang w:val="es-419"/>
        </w:rPr>
        <w:t>infundado</w:t>
      </w:r>
      <w:r w:rsidR="00167645" w:rsidRPr="00A41002">
        <w:rPr>
          <w:lang w:val="es-419"/>
        </w:rPr>
        <w:t xml:space="preserve"> </w:t>
      </w:r>
      <w:r w:rsidR="00896649" w:rsidRPr="00A41002">
        <w:rPr>
          <w:lang w:val="es-419"/>
        </w:rPr>
        <w:t>de la pretensión del</w:t>
      </w:r>
      <w:r w:rsidR="00241056" w:rsidRPr="00A41002">
        <w:rPr>
          <w:lang w:val="es-419"/>
        </w:rPr>
        <w:t xml:space="preserve"> actor radica </w:t>
      </w:r>
      <w:r w:rsidR="00C25AD1" w:rsidRPr="00A41002">
        <w:rPr>
          <w:lang w:val="es-419"/>
        </w:rPr>
        <w:t xml:space="preserve">en </w:t>
      </w:r>
      <w:r w:rsidR="00896649" w:rsidRPr="00A41002">
        <w:rPr>
          <w:lang w:val="es-419"/>
        </w:rPr>
        <w:t xml:space="preserve">que, en este momento, </w:t>
      </w:r>
      <w:r w:rsidR="00F63F77" w:rsidRPr="00A41002">
        <w:rPr>
          <w:lang w:val="es-419"/>
        </w:rPr>
        <w:t>no es posible que</w:t>
      </w:r>
      <w:r w:rsidR="00B655BD" w:rsidRPr="00A41002">
        <w:rPr>
          <w:lang w:val="es-419"/>
        </w:rPr>
        <w:t xml:space="preserve"> lleve a cabo la recalificación de los seis votos originalmente calificados como </w:t>
      </w:r>
      <w:r w:rsidR="00B655BD" w:rsidRPr="00A41002">
        <w:rPr>
          <w:lang w:val="es-419"/>
        </w:rPr>
        <w:lastRenderedPageBreak/>
        <w:t xml:space="preserve">nulos por la mesa receptora, porque </w:t>
      </w:r>
      <w:r w:rsidR="00DB2CA1" w:rsidRPr="00A41002">
        <w:rPr>
          <w:lang w:val="es-419"/>
        </w:rPr>
        <w:t>de la diligencia llevada a cabo por el funcionariado del TEEY y del Ayuntamiento de Mérida, Yuca</w:t>
      </w:r>
      <w:r w:rsidR="008C1141" w:rsidRPr="00A41002">
        <w:rPr>
          <w:lang w:val="es-419"/>
        </w:rPr>
        <w:t>tán, se advierte que dichos votos no son identif</w:t>
      </w:r>
      <w:r w:rsidR="0093077B" w:rsidRPr="00A41002">
        <w:rPr>
          <w:lang w:val="es-419"/>
        </w:rPr>
        <w:t xml:space="preserve">icables. </w:t>
      </w:r>
    </w:p>
    <w:p w14:paraId="7DB92898" w14:textId="5FAB5F27" w:rsidR="0093077B" w:rsidRPr="00A41002" w:rsidRDefault="003663A3" w:rsidP="00CA6034">
      <w:pPr>
        <w:pStyle w:val="numerados"/>
        <w:ind w:left="0" w:hanging="1"/>
        <w:rPr>
          <w:lang w:val="es-419"/>
        </w:rPr>
      </w:pPr>
      <w:r w:rsidRPr="00A41002">
        <w:rPr>
          <w:lang w:val="es-419"/>
        </w:rPr>
        <w:t xml:space="preserve">Es decir, tal y como lo plantea el actor, la controversia se </w:t>
      </w:r>
      <w:r w:rsidR="00491956" w:rsidRPr="00A41002">
        <w:rPr>
          <w:lang w:val="es-419"/>
        </w:rPr>
        <w:t>circunscribe</w:t>
      </w:r>
      <w:r w:rsidR="00321DD3" w:rsidRPr="00A41002">
        <w:rPr>
          <w:lang w:val="es-419"/>
        </w:rPr>
        <w:t xml:space="preserve"> </w:t>
      </w:r>
      <w:r w:rsidR="00896649" w:rsidRPr="00A41002">
        <w:rPr>
          <w:lang w:val="es-419"/>
        </w:rPr>
        <w:t xml:space="preserve">a </w:t>
      </w:r>
      <w:r w:rsidR="00321DD3" w:rsidRPr="00A41002">
        <w:rPr>
          <w:lang w:val="es-419"/>
        </w:rPr>
        <w:t>establecer si</w:t>
      </w:r>
      <w:r w:rsidR="00631F14" w:rsidRPr="00A41002">
        <w:rPr>
          <w:lang w:val="es-419"/>
        </w:rPr>
        <w:t xml:space="preserve"> </w:t>
      </w:r>
      <w:r w:rsidR="00CA7238" w:rsidRPr="00A41002">
        <w:rPr>
          <w:lang w:val="es-419"/>
        </w:rPr>
        <w:t xml:space="preserve">la recalificación realizada por el Consejo Electoral de </w:t>
      </w:r>
      <w:r w:rsidR="00631F14" w:rsidRPr="00A41002">
        <w:rPr>
          <w:lang w:val="es-419"/>
        </w:rPr>
        <w:t xml:space="preserve">los seis </w:t>
      </w:r>
      <w:r w:rsidR="00225AFE" w:rsidRPr="00A41002">
        <w:rPr>
          <w:lang w:val="es-419"/>
        </w:rPr>
        <w:t>votos originalmente calificados</w:t>
      </w:r>
      <w:r w:rsidR="00321DD3" w:rsidRPr="00A41002">
        <w:rPr>
          <w:lang w:val="es-419"/>
        </w:rPr>
        <w:t xml:space="preserve"> como nulos por la mesa receptora </w:t>
      </w:r>
      <w:r w:rsidR="00CA7238" w:rsidRPr="00A41002">
        <w:rPr>
          <w:lang w:val="es-419"/>
        </w:rPr>
        <w:t xml:space="preserve">fue correcta, </w:t>
      </w:r>
      <w:r w:rsidR="0074489C" w:rsidRPr="00A41002">
        <w:rPr>
          <w:lang w:val="es-419"/>
        </w:rPr>
        <w:t xml:space="preserve">debido a que es un hecho no controvertido </w:t>
      </w:r>
      <w:r w:rsidR="00376813" w:rsidRPr="00A41002">
        <w:rPr>
          <w:lang w:val="es-419"/>
        </w:rPr>
        <w:t xml:space="preserve">la validez de los </w:t>
      </w:r>
      <w:r w:rsidR="00E009C0" w:rsidRPr="00A41002">
        <w:rPr>
          <w:lang w:val="es-419"/>
        </w:rPr>
        <w:t xml:space="preserve">trescientos treinta y seis votos </w:t>
      </w:r>
      <w:r w:rsidR="004F6A0E" w:rsidRPr="00A41002">
        <w:rPr>
          <w:lang w:val="es-419"/>
        </w:rPr>
        <w:t>obtenidos por las candidaturas que obtu</w:t>
      </w:r>
      <w:r w:rsidR="002557B9" w:rsidRPr="00A41002">
        <w:rPr>
          <w:lang w:val="es-419"/>
        </w:rPr>
        <w:t>vieron el primer y segundo lugar y con los cuales se estableció el empate referido</w:t>
      </w:r>
      <w:r w:rsidR="007D5D14" w:rsidRPr="00A41002">
        <w:rPr>
          <w:rStyle w:val="Refdenotaalpie"/>
          <w:lang w:val="es-419"/>
        </w:rPr>
        <w:footnoteReference w:id="25"/>
      </w:r>
      <w:r w:rsidR="002557B9" w:rsidRPr="00A41002">
        <w:rPr>
          <w:lang w:val="es-419"/>
        </w:rPr>
        <w:t>.</w:t>
      </w:r>
    </w:p>
    <w:p w14:paraId="606A5FA3" w14:textId="5DBDE0A7" w:rsidR="002557B9" w:rsidRPr="00A41002" w:rsidRDefault="002557B9" w:rsidP="00CA6034">
      <w:pPr>
        <w:pStyle w:val="numerados"/>
        <w:ind w:left="0" w:hanging="1"/>
        <w:rPr>
          <w:lang w:val="es-419"/>
        </w:rPr>
      </w:pPr>
      <w:r w:rsidRPr="00A41002">
        <w:rPr>
          <w:lang w:val="es-419"/>
        </w:rPr>
        <w:t>Sin em</w:t>
      </w:r>
      <w:r w:rsidR="007D5D14" w:rsidRPr="00A41002">
        <w:rPr>
          <w:lang w:val="es-419"/>
        </w:rPr>
        <w:t xml:space="preserve">bargo, como se </w:t>
      </w:r>
      <w:r w:rsidR="001207FC" w:rsidRPr="00A41002">
        <w:rPr>
          <w:lang w:val="es-419"/>
        </w:rPr>
        <w:t>refirió</w:t>
      </w:r>
      <w:r w:rsidR="007D5D14" w:rsidRPr="00A41002">
        <w:rPr>
          <w:lang w:val="es-419"/>
        </w:rPr>
        <w:t xml:space="preserve">, </w:t>
      </w:r>
      <w:r w:rsidR="00B41F6A" w:rsidRPr="00A41002">
        <w:rPr>
          <w:lang w:val="es-419"/>
        </w:rPr>
        <w:t xml:space="preserve">actualmente, no es posible recalificar </w:t>
      </w:r>
      <w:r w:rsidR="00254A00" w:rsidRPr="00A41002">
        <w:rPr>
          <w:lang w:val="es-419"/>
        </w:rPr>
        <w:t>—</w:t>
      </w:r>
      <w:r w:rsidR="00886146" w:rsidRPr="00A41002">
        <w:rPr>
          <w:lang w:val="es-419"/>
        </w:rPr>
        <w:t xml:space="preserve">en sede jurisdiccional, </w:t>
      </w:r>
      <w:r w:rsidR="00254A00" w:rsidRPr="00A41002">
        <w:rPr>
          <w:lang w:val="es-419"/>
        </w:rPr>
        <w:t>en presencia de las representaciones de las candidaturas—</w:t>
      </w:r>
      <w:r w:rsidR="00B41F6A" w:rsidRPr="00A41002">
        <w:rPr>
          <w:lang w:val="es-419"/>
        </w:rPr>
        <w:t xml:space="preserve">los seis votos nulos referidos y así </w:t>
      </w:r>
      <w:r w:rsidR="00254A00" w:rsidRPr="00A41002">
        <w:rPr>
          <w:lang w:val="es-419"/>
        </w:rPr>
        <w:t xml:space="preserve">con ello poder subsanar la vulneración al principio de certeza </w:t>
      </w:r>
      <w:r w:rsidR="00F50A03" w:rsidRPr="00A41002">
        <w:rPr>
          <w:lang w:val="es-419"/>
        </w:rPr>
        <w:t>en los resultados de la elección</w:t>
      </w:r>
      <w:r w:rsidR="006F07EE" w:rsidRPr="00A41002">
        <w:rPr>
          <w:lang w:val="es-419"/>
        </w:rPr>
        <w:t>,</w:t>
      </w:r>
      <w:r w:rsidR="00F50A03" w:rsidRPr="00A41002">
        <w:rPr>
          <w:lang w:val="es-419"/>
        </w:rPr>
        <w:t xml:space="preserve"> porque dichos votos no </w:t>
      </w:r>
      <w:r w:rsidR="00CA0FDB" w:rsidRPr="00A41002">
        <w:rPr>
          <w:lang w:val="es-419"/>
        </w:rPr>
        <w:t>son identificables y n</w:t>
      </w:r>
      <w:r w:rsidR="001207FC" w:rsidRPr="00A41002">
        <w:rPr>
          <w:lang w:val="es-419"/>
        </w:rPr>
        <w:t>o</w:t>
      </w:r>
      <w:r w:rsidR="00CA0FDB" w:rsidRPr="00A41002">
        <w:rPr>
          <w:lang w:val="es-419"/>
        </w:rPr>
        <w:t xml:space="preserve"> se encuentran separados de los votos válidos e inutilizados</w:t>
      </w:r>
      <w:r w:rsidR="00F72B6D" w:rsidRPr="00A41002">
        <w:rPr>
          <w:lang w:val="es-419"/>
        </w:rPr>
        <w:t xml:space="preserve"> desde que el Consejo Electoral realizó el nuevo escrutinio y cómputo de la elección</w:t>
      </w:r>
      <w:r w:rsidR="00CA0FDB" w:rsidRPr="00A41002">
        <w:rPr>
          <w:lang w:val="es-419"/>
        </w:rPr>
        <w:t>.</w:t>
      </w:r>
    </w:p>
    <w:p w14:paraId="46CD655F" w14:textId="1F82722C" w:rsidR="00CA0FDB" w:rsidRPr="00A41002" w:rsidRDefault="00CA0FDB" w:rsidP="00CA6034">
      <w:pPr>
        <w:pStyle w:val="numerados"/>
        <w:ind w:left="0" w:hanging="1"/>
        <w:rPr>
          <w:lang w:val="es-419"/>
        </w:rPr>
      </w:pPr>
      <w:r w:rsidRPr="00A41002">
        <w:rPr>
          <w:lang w:val="es-419"/>
        </w:rPr>
        <w:t xml:space="preserve">Se afirma lo anterior, porque como se </w:t>
      </w:r>
      <w:r w:rsidR="00946DEB" w:rsidRPr="00A41002">
        <w:rPr>
          <w:lang w:val="es-419"/>
        </w:rPr>
        <w:t xml:space="preserve">estableció en el considerando </w:t>
      </w:r>
      <w:r w:rsidR="00EC2DBF" w:rsidRPr="00A41002">
        <w:t>SEGUNDO</w:t>
      </w:r>
      <w:r w:rsidR="00EC2DBF" w:rsidRPr="00A41002">
        <w:rPr>
          <w:lang w:val="es-419"/>
        </w:rPr>
        <w:t xml:space="preserve"> </w:t>
      </w:r>
      <w:r w:rsidR="00946DEB" w:rsidRPr="00A41002">
        <w:rPr>
          <w:lang w:val="es-419"/>
        </w:rPr>
        <w:t xml:space="preserve">de la presente sentencia, </w:t>
      </w:r>
      <w:r w:rsidR="00FE16AE" w:rsidRPr="00A41002">
        <w:rPr>
          <w:lang w:val="es-419"/>
        </w:rPr>
        <w:t>al aperturar el paquete electoral en la diligencia ordenada por esta Sala Regional, es posible despre</w:t>
      </w:r>
      <w:r w:rsidR="00D92705" w:rsidRPr="00A41002">
        <w:rPr>
          <w:lang w:val="es-419"/>
        </w:rPr>
        <w:t xml:space="preserve">nder que únicamente se </w:t>
      </w:r>
      <w:r w:rsidR="005F3DBB" w:rsidRPr="00A41002">
        <w:rPr>
          <w:lang w:val="es-419"/>
        </w:rPr>
        <w:t xml:space="preserve">identificó un </w:t>
      </w:r>
      <w:r w:rsidR="005F3DBB" w:rsidRPr="00A41002">
        <w:rPr>
          <w:lang w:val="es-419"/>
        </w:rPr>
        <w:lastRenderedPageBreak/>
        <w:t xml:space="preserve">voto marcado como nulo, situación que en si misma implica que </w:t>
      </w:r>
      <w:r w:rsidR="00C1061C" w:rsidRPr="00A41002">
        <w:rPr>
          <w:lang w:val="es-419"/>
        </w:rPr>
        <w:t xml:space="preserve">los seis votos nulos </w:t>
      </w:r>
      <w:r w:rsidR="00D65FAD" w:rsidRPr="00A41002">
        <w:rPr>
          <w:lang w:val="es-419"/>
        </w:rPr>
        <w:t>controvertidos no se encontraban juntos</w:t>
      </w:r>
      <w:r w:rsidR="00F6080E" w:rsidRPr="00A41002">
        <w:rPr>
          <w:lang w:val="es-419"/>
        </w:rPr>
        <w:t>, es decir, que no se encontraban separados y perfectamente identificables.</w:t>
      </w:r>
    </w:p>
    <w:p w14:paraId="5E18B714" w14:textId="01917785" w:rsidR="00F6080E" w:rsidRPr="00A41002" w:rsidRDefault="00F6080E" w:rsidP="00CA6034">
      <w:pPr>
        <w:pStyle w:val="numerados"/>
        <w:ind w:left="0" w:hanging="1"/>
        <w:rPr>
          <w:lang w:val="es-419"/>
        </w:rPr>
      </w:pPr>
      <w:r w:rsidRPr="00A41002">
        <w:rPr>
          <w:lang w:val="es-419"/>
        </w:rPr>
        <w:t xml:space="preserve">En ese orden de ideas, aun cuando </w:t>
      </w:r>
      <w:r w:rsidR="00006574" w:rsidRPr="00A41002">
        <w:rPr>
          <w:lang w:val="es-419"/>
        </w:rPr>
        <w:t>el Tribunal Electoral local no analizara alguna otra posibilidad a efecto de privilegiar el principio de conservación de los actos públicos válidamente celebrados</w:t>
      </w:r>
      <w:r w:rsidR="00AB5671" w:rsidRPr="00A41002">
        <w:rPr>
          <w:lang w:val="es-419"/>
        </w:rPr>
        <w:t>,</w:t>
      </w:r>
      <w:r w:rsidR="00006574" w:rsidRPr="00A41002">
        <w:rPr>
          <w:lang w:val="es-419"/>
        </w:rPr>
        <w:t xml:space="preserve"> </w:t>
      </w:r>
      <w:r w:rsidR="00363706" w:rsidRPr="00A41002">
        <w:rPr>
          <w:lang w:val="es-419"/>
        </w:rPr>
        <w:t>previ</w:t>
      </w:r>
      <w:r w:rsidR="00AB5671" w:rsidRPr="00A41002">
        <w:rPr>
          <w:lang w:val="es-419"/>
        </w:rPr>
        <w:t>o</w:t>
      </w:r>
      <w:r w:rsidR="00363706" w:rsidRPr="00A41002">
        <w:rPr>
          <w:lang w:val="es-419"/>
        </w:rPr>
        <w:t xml:space="preserve"> a decretar la nulidad de la elección controvertida, a juicio de esta Sala Regional se debe </w:t>
      </w:r>
      <w:r w:rsidR="00713C8E" w:rsidRPr="00A41002">
        <w:rPr>
          <w:lang w:val="es-419"/>
        </w:rPr>
        <w:t xml:space="preserve">confirmar </w:t>
      </w:r>
      <w:r w:rsidR="00B03407" w:rsidRPr="00A41002">
        <w:rPr>
          <w:lang w:val="es-419"/>
        </w:rPr>
        <w:t>la nulidad de la elección</w:t>
      </w:r>
      <w:r w:rsidR="001A538B" w:rsidRPr="00A41002">
        <w:rPr>
          <w:lang w:val="es-419"/>
        </w:rPr>
        <w:t>,</w:t>
      </w:r>
      <w:r w:rsidR="00713C8E" w:rsidRPr="00A41002">
        <w:rPr>
          <w:lang w:val="es-419"/>
        </w:rPr>
        <w:t xml:space="preserve"> por las razones expresadas en la presente ejecutoria.</w:t>
      </w:r>
    </w:p>
    <w:p w14:paraId="022C7B7A" w14:textId="56781395" w:rsidR="003C311B" w:rsidRPr="00A41002" w:rsidRDefault="00327368" w:rsidP="00AB5671">
      <w:pPr>
        <w:pStyle w:val="numerados"/>
        <w:ind w:left="0" w:hanging="1"/>
        <w:rPr>
          <w:lang w:val="es-419"/>
        </w:rPr>
      </w:pPr>
      <w:r w:rsidRPr="00A41002">
        <w:rPr>
          <w:lang w:val="es-419"/>
        </w:rPr>
        <w:t>Aunado a lo anterior</w:t>
      </w:r>
      <w:r w:rsidR="00543489" w:rsidRPr="00A41002">
        <w:rPr>
          <w:lang w:val="es-419"/>
        </w:rPr>
        <w:t xml:space="preserve">, </w:t>
      </w:r>
      <w:r w:rsidRPr="00A41002">
        <w:rPr>
          <w:lang w:val="es-419"/>
        </w:rPr>
        <w:t>tampoco es posible confirmar los resultados obtenidos por el Consejo Electoral durante el nuevo escrutinio y cómputo, precisamente porque no existe certeza</w:t>
      </w:r>
      <w:r w:rsidR="006F07EE" w:rsidRPr="00A41002">
        <w:rPr>
          <w:lang w:val="es-419"/>
        </w:rPr>
        <w:t xml:space="preserve"> </w:t>
      </w:r>
      <w:r w:rsidRPr="00A41002">
        <w:rPr>
          <w:lang w:val="es-419"/>
        </w:rPr>
        <w:t xml:space="preserve">sobre si la </w:t>
      </w:r>
      <w:r w:rsidR="005A62A6" w:rsidRPr="00A41002">
        <w:rPr>
          <w:lang w:val="es-419"/>
        </w:rPr>
        <w:t xml:space="preserve">distribución de los tres votos calificados como validos que provocaron el </w:t>
      </w:r>
      <w:r w:rsidR="00631219" w:rsidRPr="00A41002">
        <w:rPr>
          <w:lang w:val="es-419"/>
        </w:rPr>
        <w:t>desempate</w:t>
      </w:r>
      <w:r w:rsidR="005A62A6" w:rsidRPr="00A41002">
        <w:rPr>
          <w:lang w:val="es-419"/>
        </w:rPr>
        <w:t xml:space="preserve"> en la elección fue correcta, al no encontrarse presentes las representaciones de las candidaturas durante este acto</w:t>
      </w:r>
      <w:r w:rsidR="006F07EE" w:rsidRPr="00A41002">
        <w:rPr>
          <w:lang w:val="es-419"/>
        </w:rPr>
        <w:t>, circunstancia que el propio actor reconoce en su escrito de demanda</w:t>
      </w:r>
      <w:r w:rsidR="00631219" w:rsidRPr="00A41002">
        <w:rPr>
          <w:lang w:val="es-419"/>
        </w:rPr>
        <w:t>.</w:t>
      </w:r>
    </w:p>
    <w:p w14:paraId="1BEFEE5E" w14:textId="3CE79AD3" w:rsidR="00631219" w:rsidRPr="00A41002" w:rsidRDefault="008056B1" w:rsidP="00AB5671">
      <w:pPr>
        <w:pStyle w:val="numerados"/>
        <w:ind w:left="0" w:hanging="1"/>
        <w:rPr>
          <w:lang w:val="es-419"/>
        </w:rPr>
      </w:pPr>
      <w:r w:rsidRPr="00A41002">
        <w:rPr>
          <w:lang w:val="es-419"/>
        </w:rPr>
        <w:t xml:space="preserve">En ese sentido, </w:t>
      </w:r>
      <w:r w:rsidR="006F5D34" w:rsidRPr="00A41002">
        <w:rPr>
          <w:lang w:val="es-419"/>
        </w:rPr>
        <w:t xml:space="preserve">aun cuando el Tribunal Electoral local incurrió en una falta de exhaustividad </w:t>
      </w:r>
      <w:r w:rsidR="00A63D1D" w:rsidRPr="00A41002">
        <w:rPr>
          <w:lang w:val="es-419"/>
        </w:rPr>
        <w:t>al analizar la controversia, al considerar</w:t>
      </w:r>
      <w:r w:rsidR="00BB047F" w:rsidRPr="00A41002">
        <w:rPr>
          <w:lang w:val="es-419"/>
        </w:rPr>
        <w:t xml:space="preserve">, </w:t>
      </w:r>
      <w:r w:rsidR="00BB047F" w:rsidRPr="00A41002">
        <w:rPr>
          <w:i/>
          <w:iCs/>
          <w:lang w:val="es-419"/>
        </w:rPr>
        <w:t>a priori,</w:t>
      </w:r>
      <w:r w:rsidR="00A63D1D" w:rsidRPr="00A41002">
        <w:rPr>
          <w:lang w:val="es-419"/>
        </w:rPr>
        <w:t xml:space="preserve"> que el hecho de que las representaciones de las candidaturas no estuvieran presentes durante el nuevo escrutinio y cómputo realizado por el Consejo Electoral</w:t>
      </w:r>
      <w:r w:rsidR="003D5F40" w:rsidRPr="00A41002">
        <w:rPr>
          <w:lang w:val="es-419"/>
        </w:rPr>
        <w:t xml:space="preserve"> no era subsanable</w:t>
      </w:r>
      <w:r w:rsidR="00EB333F" w:rsidRPr="00A41002">
        <w:rPr>
          <w:lang w:val="es-419"/>
        </w:rPr>
        <w:t xml:space="preserve">, </w:t>
      </w:r>
      <w:r w:rsidR="00BB047F" w:rsidRPr="00A41002">
        <w:rPr>
          <w:lang w:val="es-419"/>
        </w:rPr>
        <w:t xml:space="preserve">lo cierto es que, </w:t>
      </w:r>
      <w:r w:rsidR="00EB333F" w:rsidRPr="00A41002">
        <w:rPr>
          <w:lang w:val="es-419"/>
        </w:rPr>
        <w:t>a juicio de esta Sala Regional</w:t>
      </w:r>
      <w:r w:rsidR="00BD1B07" w:rsidRPr="00A41002">
        <w:rPr>
          <w:lang w:val="es-419"/>
        </w:rPr>
        <w:t xml:space="preserve"> —</w:t>
      </w:r>
      <w:r w:rsidR="005D7354" w:rsidRPr="00A41002">
        <w:rPr>
          <w:lang w:val="es-419"/>
        </w:rPr>
        <w:t xml:space="preserve">en atención a los resultados obtenidos en la diligencia de apertura </w:t>
      </w:r>
      <w:r w:rsidR="005D7354" w:rsidRPr="00A41002">
        <w:rPr>
          <w:lang w:val="es-419"/>
        </w:rPr>
        <w:lastRenderedPageBreak/>
        <w:t>de paquete</w:t>
      </w:r>
      <w:r w:rsidR="00BD1B07" w:rsidRPr="00A41002">
        <w:rPr>
          <w:lang w:val="es-419"/>
        </w:rPr>
        <w:t>—</w:t>
      </w:r>
      <w:r w:rsidR="005D7354" w:rsidRPr="00A41002">
        <w:rPr>
          <w:lang w:val="es-419"/>
        </w:rPr>
        <w:t xml:space="preserve">es posible afirmar que </w:t>
      </w:r>
      <w:r w:rsidR="00E27364" w:rsidRPr="00A41002">
        <w:rPr>
          <w:lang w:val="es-419"/>
        </w:rPr>
        <w:t>no resulta</w:t>
      </w:r>
      <w:r w:rsidR="00BB047F" w:rsidRPr="00A41002">
        <w:rPr>
          <w:lang w:val="es-419"/>
        </w:rPr>
        <w:t>ba</w:t>
      </w:r>
      <w:r w:rsidR="00E27364" w:rsidRPr="00A41002">
        <w:rPr>
          <w:lang w:val="es-419"/>
        </w:rPr>
        <w:t xml:space="preserve"> procedente la recalificación de los seis votos originalmente calificados como nulos.</w:t>
      </w:r>
    </w:p>
    <w:p w14:paraId="083B4D57" w14:textId="4B254980" w:rsidR="00053CE9" w:rsidRPr="00A41002" w:rsidRDefault="00AA668B" w:rsidP="00AB5671">
      <w:pPr>
        <w:pStyle w:val="numerados"/>
        <w:ind w:left="0" w:hanging="1"/>
        <w:rPr>
          <w:lang w:val="es-419"/>
        </w:rPr>
      </w:pPr>
      <w:r w:rsidRPr="00A41002">
        <w:rPr>
          <w:lang w:val="es-419"/>
        </w:rPr>
        <w:t>Asimismo, contrario a lo argumentado por el actor, el hecho de que las representaciones de las candidaturas no hayan estado presentes durante el nuevo escrutinio y cómputo de la elección no es un hecho menor, precisamente, porque vulneró el principio de certeza sobre el resultado</w:t>
      </w:r>
      <w:r w:rsidR="0034428E" w:rsidRPr="00A41002">
        <w:rPr>
          <w:lang w:val="es-419"/>
        </w:rPr>
        <w:t xml:space="preserve"> </w:t>
      </w:r>
      <w:r w:rsidR="00E71B15" w:rsidRPr="00A41002">
        <w:rPr>
          <w:lang w:val="es-419"/>
        </w:rPr>
        <w:t>final de la elección</w:t>
      </w:r>
      <w:r w:rsidR="00592966" w:rsidRPr="00A41002">
        <w:rPr>
          <w:lang w:val="es-419"/>
        </w:rPr>
        <w:t xml:space="preserve"> </w:t>
      </w:r>
      <w:r w:rsidR="007C724D" w:rsidRPr="00A41002">
        <w:rPr>
          <w:lang w:val="es-419"/>
        </w:rPr>
        <w:t xml:space="preserve">y, </w:t>
      </w:r>
      <w:r w:rsidR="00592966" w:rsidRPr="00A41002">
        <w:rPr>
          <w:lang w:val="es-419"/>
        </w:rPr>
        <w:t>una vez sustanciado debidamente el presente asunto,</w:t>
      </w:r>
      <w:r w:rsidR="00E71B15" w:rsidRPr="00A41002">
        <w:rPr>
          <w:lang w:val="es-419"/>
        </w:rPr>
        <w:t xml:space="preserve"> se corrobora que</w:t>
      </w:r>
      <w:r w:rsidR="00592966" w:rsidRPr="00A41002">
        <w:rPr>
          <w:lang w:val="es-419"/>
        </w:rPr>
        <w:t xml:space="preserve"> no es posible subsanarlo.</w:t>
      </w:r>
    </w:p>
    <w:p w14:paraId="4C7003CD" w14:textId="4FB3E4F7" w:rsidR="007C724D" w:rsidRPr="00A41002" w:rsidRDefault="007C724D" w:rsidP="00AB5671">
      <w:pPr>
        <w:pStyle w:val="numerados"/>
        <w:ind w:left="0" w:hanging="1"/>
        <w:rPr>
          <w:lang w:val="es-419"/>
        </w:rPr>
      </w:pPr>
      <w:r w:rsidRPr="00A41002">
        <w:rPr>
          <w:lang w:val="es-419"/>
        </w:rPr>
        <w:t>Asimismo, se considera que tampoco resulta procedente ordenar el recuento total de la votación porque</w:t>
      </w:r>
      <w:r w:rsidR="000E1C84" w:rsidRPr="00A41002">
        <w:rPr>
          <w:lang w:val="es-419"/>
        </w:rPr>
        <w:t xml:space="preserve">, derivado del nuevo escrutinio y cómputo realizado por el Consejo Electoral se confirmó el empate originalmente determinado por la mesa receptora, además de que </w:t>
      </w:r>
      <w:r w:rsidRPr="00A41002">
        <w:rPr>
          <w:lang w:val="es-419"/>
        </w:rPr>
        <w:t>el actor reconoce que la controversia únicamente radica en la calificación de los seis votos originalmente considerados como nulos, los cuales ya no son identificables</w:t>
      </w:r>
      <w:r w:rsidR="000E1C84" w:rsidRPr="00A41002">
        <w:rPr>
          <w:lang w:val="es-419"/>
        </w:rPr>
        <w:t>.</w:t>
      </w:r>
      <w:r w:rsidRPr="00A41002">
        <w:rPr>
          <w:lang w:val="es-419"/>
        </w:rPr>
        <w:t xml:space="preserve"> </w:t>
      </w:r>
    </w:p>
    <w:p w14:paraId="6C16C0FB" w14:textId="2FE8E521" w:rsidR="00592966" w:rsidRPr="00A41002" w:rsidRDefault="000B2727" w:rsidP="00AB5671">
      <w:pPr>
        <w:pStyle w:val="numerados"/>
        <w:ind w:left="0" w:hanging="1"/>
        <w:rPr>
          <w:lang w:val="es-419"/>
        </w:rPr>
      </w:pPr>
      <w:r w:rsidRPr="00A41002">
        <w:rPr>
          <w:lang w:val="es-419"/>
        </w:rPr>
        <w:t xml:space="preserve">Por lo anterior, es que se considera procedente </w:t>
      </w:r>
      <w:r w:rsidR="00456971" w:rsidRPr="00A41002">
        <w:rPr>
          <w:lang w:val="es-419"/>
        </w:rPr>
        <w:t>confirmar la nulidad de la elección controvertida.</w:t>
      </w:r>
    </w:p>
    <w:p w14:paraId="187E8F2D" w14:textId="485EF7B4" w:rsidR="00AF31C9" w:rsidRPr="00A41002" w:rsidRDefault="00AF31C9" w:rsidP="00B96C0F">
      <w:pPr>
        <w:pStyle w:val="numerados"/>
        <w:numPr>
          <w:ilvl w:val="0"/>
          <w:numId w:val="0"/>
        </w:numPr>
        <w:rPr>
          <w:b/>
          <w:bCs/>
          <w:lang w:val="es-ES"/>
        </w:rPr>
      </w:pPr>
      <w:r w:rsidRPr="00A41002">
        <w:rPr>
          <w:b/>
          <w:bCs/>
        </w:rPr>
        <w:t>Conclusión</w:t>
      </w:r>
    </w:p>
    <w:p w14:paraId="4A476DAA" w14:textId="1336A33B" w:rsidR="00AF31C9" w:rsidRPr="00A41002" w:rsidRDefault="0054168D" w:rsidP="00AF31C9">
      <w:pPr>
        <w:pStyle w:val="numerados"/>
        <w:spacing w:before="360"/>
        <w:ind w:left="0" w:hanging="1"/>
        <w:rPr>
          <w:bCs/>
          <w:iCs/>
          <w:lang w:val="es-ES"/>
        </w:rPr>
      </w:pPr>
      <w:r w:rsidRPr="00A41002">
        <w:rPr>
          <w:bCs/>
          <w:iCs/>
        </w:rPr>
        <w:t>E</w:t>
      </w:r>
      <w:bookmarkStart w:id="56" w:name="_Hlk133354708"/>
      <w:r w:rsidR="00AF31C9" w:rsidRPr="00A41002">
        <w:rPr>
          <w:bCs/>
          <w:iCs/>
        </w:rPr>
        <w:t xml:space="preserve">sta Sala determina </w:t>
      </w:r>
      <w:r w:rsidR="00AF31C9" w:rsidRPr="00A41002">
        <w:rPr>
          <w:b/>
          <w:bCs/>
          <w:iCs/>
        </w:rPr>
        <w:t>confirmar</w:t>
      </w:r>
      <w:r w:rsidR="00C2213E" w:rsidRPr="00A41002">
        <w:rPr>
          <w:b/>
          <w:bCs/>
          <w:iCs/>
        </w:rPr>
        <w:t>, por razones distintas,</w:t>
      </w:r>
      <w:r w:rsidR="00AF31C9" w:rsidRPr="00A41002">
        <w:rPr>
          <w:bCs/>
          <w:iCs/>
        </w:rPr>
        <w:t xml:space="preserve"> la sentenci</w:t>
      </w:r>
      <w:bookmarkEnd w:id="56"/>
      <w:r w:rsidR="00AF31C9" w:rsidRPr="00A41002">
        <w:rPr>
          <w:bCs/>
          <w:iCs/>
        </w:rPr>
        <w:t xml:space="preserve">a controvertida, de conformidad con el artículo 84, apartado 1, inciso a), de la </w:t>
      </w:r>
      <w:r w:rsidR="00286044" w:rsidRPr="00A41002">
        <w:rPr>
          <w:bCs/>
          <w:iCs/>
        </w:rPr>
        <w:t>Ley General de Medios</w:t>
      </w:r>
      <w:r w:rsidR="00AF31C9" w:rsidRPr="00A41002">
        <w:rPr>
          <w:bCs/>
          <w:iCs/>
        </w:rPr>
        <w:t>.</w:t>
      </w:r>
    </w:p>
    <w:p w14:paraId="7128A654" w14:textId="55560619" w:rsidR="0045059F" w:rsidRPr="00A41002" w:rsidRDefault="00E952FC" w:rsidP="00AF31C9">
      <w:pPr>
        <w:pStyle w:val="numerados"/>
        <w:ind w:left="0" w:hanging="1"/>
        <w:rPr>
          <w:rFonts w:eastAsia="Calibri" w:cs="Arial"/>
          <w:szCs w:val="22"/>
          <w:lang w:val="es-ES"/>
        </w:rPr>
      </w:pPr>
      <w:r w:rsidRPr="00A41002">
        <w:rPr>
          <w:rFonts w:eastAsia="Calibri" w:cs="Arial"/>
          <w:szCs w:val="22"/>
          <w:lang w:val="es-ES"/>
        </w:rPr>
        <w:lastRenderedPageBreak/>
        <w:t xml:space="preserve">Finalmente, se </w:t>
      </w:r>
      <w:r w:rsidRPr="00A41002">
        <w:rPr>
          <w:rFonts w:eastAsia="Calibri" w:cs="Arial"/>
          <w:b/>
          <w:bCs/>
          <w:szCs w:val="22"/>
          <w:lang w:val="es-ES"/>
        </w:rPr>
        <w:t>instruye</w:t>
      </w:r>
      <w:r w:rsidRPr="00A41002">
        <w:rPr>
          <w:rFonts w:eastAsia="Calibri" w:cs="Arial"/>
          <w:szCs w:val="22"/>
          <w:lang w:val="es-ES"/>
        </w:rPr>
        <w:t xml:space="preserve"> a la Secretaría General de Acuerdos de esta Sala Regional para que, </w:t>
      </w:r>
      <w:r w:rsidR="0045059F" w:rsidRPr="00A41002">
        <w:rPr>
          <w:rFonts w:eastAsia="Calibri" w:cs="Arial"/>
          <w:szCs w:val="22"/>
          <w:lang w:val="es-ES"/>
        </w:rPr>
        <w:t>una vez</w:t>
      </w:r>
      <w:r w:rsidR="004878D9" w:rsidRPr="00A41002">
        <w:rPr>
          <w:rFonts w:eastAsia="Calibri" w:cs="Arial"/>
          <w:szCs w:val="22"/>
          <w:lang w:val="es-ES"/>
        </w:rPr>
        <w:t xml:space="preserve"> notificada la presente sentencia se agregue una </w:t>
      </w:r>
      <w:r w:rsidR="004878D9" w:rsidRPr="00A41002">
        <w:rPr>
          <w:rFonts w:eastAsia="Calibri" w:cs="Arial"/>
          <w:b/>
          <w:bCs/>
          <w:szCs w:val="22"/>
          <w:lang w:val="es-ES"/>
        </w:rPr>
        <w:t>copia certificada</w:t>
      </w:r>
      <w:r w:rsidR="004878D9" w:rsidRPr="00A41002">
        <w:rPr>
          <w:rFonts w:eastAsia="Calibri" w:cs="Arial"/>
          <w:szCs w:val="22"/>
          <w:lang w:val="es-ES"/>
        </w:rPr>
        <w:t xml:space="preserve"> al cuaderno incidental del presente expediente para que obre como en derecho corresponda.</w:t>
      </w:r>
      <w:r w:rsidR="0045059F" w:rsidRPr="00A41002">
        <w:rPr>
          <w:rFonts w:eastAsia="Calibri" w:cs="Arial"/>
          <w:szCs w:val="22"/>
          <w:lang w:val="es-ES"/>
        </w:rPr>
        <w:t xml:space="preserve"> </w:t>
      </w:r>
    </w:p>
    <w:p w14:paraId="3146F511" w14:textId="1FF163D4" w:rsidR="00AF31C9" w:rsidRPr="00A41002" w:rsidRDefault="0045059F" w:rsidP="00AF31C9">
      <w:pPr>
        <w:pStyle w:val="numerados"/>
        <w:ind w:left="0" w:hanging="1"/>
        <w:rPr>
          <w:rFonts w:eastAsia="Calibri" w:cs="Arial"/>
          <w:szCs w:val="22"/>
          <w:lang w:val="es-ES"/>
        </w:rPr>
      </w:pPr>
      <w:r w:rsidRPr="00A41002">
        <w:rPr>
          <w:rFonts w:eastAsia="Calibri" w:cs="Arial"/>
          <w:szCs w:val="22"/>
          <w:lang w:val="es-ES"/>
        </w:rPr>
        <w:t xml:space="preserve">De igual forma, se le instruye para que </w:t>
      </w:r>
      <w:r w:rsidR="00E952FC" w:rsidRPr="00A41002">
        <w:rPr>
          <w:rFonts w:eastAsia="Calibri" w:cs="Arial"/>
          <w:szCs w:val="22"/>
          <w:lang w:val="es-ES"/>
        </w:rPr>
        <w:t>en caso de que con posterioridad se reciba documentación relacionada con el trámite y sustanciación del presente juicio, se agregue al expediente para su legal y debida constancia</w:t>
      </w:r>
      <w:r w:rsidR="00AF31C9" w:rsidRPr="00A41002">
        <w:rPr>
          <w:rFonts w:eastAsia="Calibri" w:cs="Arial"/>
          <w:szCs w:val="22"/>
          <w:lang w:val="es-ES"/>
        </w:rPr>
        <w:t>.</w:t>
      </w:r>
    </w:p>
    <w:p w14:paraId="0A344CA5" w14:textId="77777777" w:rsidR="00AF31C9" w:rsidRPr="00A41002" w:rsidRDefault="00AF31C9" w:rsidP="00AF31C9">
      <w:pPr>
        <w:pStyle w:val="numerados"/>
        <w:ind w:left="0" w:firstLine="0"/>
        <w:rPr>
          <w:lang w:val="es-ES"/>
        </w:rPr>
      </w:pPr>
      <w:r w:rsidRPr="00A41002">
        <w:rPr>
          <w:color w:val="000000"/>
        </w:rPr>
        <w:t>Por lo expuesto y fundado se</w:t>
      </w:r>
      <w:bookmarkEnd w:id="2"/>
      <w:bookmarkEnd w:id="3"/>
      <w:r w:rsidRPr="00A41002">
        <w:t>:</w:t>
      </w:r>
    </w:p>
    <w:p w14:paraId="136D03A7" w14:textId="77777777" w:rsidR="00AF31C9" w:rsidRPr="00A41002" w:rsidRDefault="00AF31C9" w:rsidP="00E845C7">
      <w:pPr>
        <w:pStyle w:val="Ttulo1"/>
        <w:spacing w:before="240" w:beforeAutospacing="1" w:after="100" w:afterAutospacing="1"/>
        <w:jc w:val="center"/>
        <w:rPr>
          <w:rFonts w:ascii="Univers" w:hAnsi="Univers"/>
          <w:b/>
          <w:bCs/>
          <w:color w:val="auto"/>
          <w:spacing w:val="100"/>
          <w:sz w:val="28"/>
          <w:szCs w:val="28"/>
          <w:lang w:eastAsia="es-MX"/>
        </w:rPr>
      </w:pPr>
      <w:bookmarkStart w:id="57" w:name="_Toc58454009"/>
      <w:bookmarkStart w:id="58" w:name="_Toc125275912"/>
      <w:bookmarkStart w:id="59" w:name="_Toc135995592"/>
      <w:bookmarkStart w:id="60" w:name="_Toc198028408"/>
      <w:r w:rsidRPr="00A41002">
        <w:rPr>
          <w:rFonts w:ascii="Univers" w:hAnsi="Univers"/>
          <w:b/>
          <w:bCs/>
          <w:color w:val="auto"/>
          <w:spacing w:val="100"/>
          <w:sz w:val="28"/>
          <w:szCs w:val="28"/>
          <w:lang w:eastAsia="es-MX"/>
        </w:rPr>
        <w:t>RESUELVE</w:t>
      </w:r>
      <w:bookmarkEnd w:id="57"/>
      <w:bookmarkEnd w:id="58"/>
      <w:bookmarkEnd w:id="59"/>
      <w:bookmarkEnd w:id="60"/>
    </w:p>
    <w:p w14:paraId="21B228B7" w14:textId="77777777" w:rsidR="00D531C3" w:rsidRPr="00A41002" w:rsidRDefault="0017118F" w:rsidP="00AF31C9">
      <w:pPr>
        <w:rPr>
          <w:rFonts w:cs="Arial"/>
          <w:bCs/>
          <w:szCs w:val="28"/>
        </w:rPr>
      </w:pPr>
      <w:r w:rsidRPr="00A41002">
        <w:rPr>
          <w:rFonts w:cs="Arial"/>
          <w:b/>
          <w:szCs w:val="28"/>
        </w:rPr>
        <w:t>PRIMERO</w:t>
      </w:r>
      <w:r w:rsidR="00AF31C9" w:rsidRPr="00A41002">
        <w:rPr>
          <w:rFonts w:cs="Arial"/>
          <w:b/>
          <w:szCs w:val="28"/>
        </w:rPr>
        <w:t>.</w:t>
      </w:r>
      <w:r w:rsidRPr="00A41002">
        <w:rPr>
          <w:rFonts w:cs="Arial"/>
          <w:b/>
          <w:szCs w:val="28"/>
        </w:rPr>
        <w:t xml:space="preserve"> </w:t>
      </w:r>
      <w:r w:rsidRPr="00A41002">
        <w:rPr>
          <w:rFonts w:cs="Arial"/>
          <w:bCs/>
          <w:szCs w:val="28"/>
        </w:rPr>
        <w:t xml:space="preserve">Es </w:t>
      </w:r>
      <w:r w:rsidRPr="00A41002">
        <w:rPr>
          <w:rFonts w:cs="Arial"/>
          <w:b/>
          <w:szCs w:val="28"/>
        </w:rPr>
        <w:t>infundado</w:t>
      </w:r>
      <w:r w:rsidRPr="00A41002">
        <w:rPr>
          <w:rFonts w:cs="Arial"/>
          <w:bCs/>
          <w:szCs w:val="28"/>
        </w:rPr>
        <w:t xml:space="preserve"> el incidente de cumplimiento defectuoso</w:t>
      </w:r>
      <w:r w:rsidR="00F818B5" w:rsidRPr="00A41002">
        <w:rPr>
          <w:rFonts w:cs="Arial"/>
          <w:bCs/>
          <w:szCs w:val="28"/>
        </w:rPr>
        <w:t xml:space="preserve"> del acuerdo de sala dictado por este órgano jurisdiccional </w:t>
      </w:r>
      <w:r w:rsidR="00D531C3" w:rsidRPr="00A41002">
        <w:rPr>
          <w:rFonts w:cs="Arial"/>
          <w:bCs/>
          <w:szCs w:val="28"/>
        </w:rPr>
        <w:t>el once de abril, en el presente expediente.</w:t>
      </w:r>
    </w:p>
    <w:p w14:paraId="5831C980" w14:textId="1994CF98" w:rsidR="00AF31C9" w:rsidRPr="00A41002" w:rsidRDefault="00D531C3" w:rsidP="00AF31C9">
      <w:pPr>
        <w:rPr>
          <w:rFonts w:cs="Arial"/>
          <w:bCs/>
          <w:szCs w:val="28"/>
        </w:rPr>
      </w:pPr>
      <w:r w:rsidRPr="00A41002">
        <w:rPr>
          <w:rFonts w:cs="Arial"/>
          <w:b/>
          <w:szCs w:val="28"/>
        </w:rPr>
        <w:t>SEGUNDO.</w:t>
      </w:r>
      <w:r w:rsidRPr="00A41002">
        <w:rPr>
          <w:rFonts w:cs="Arial"/>
          <w:bCs/>
          <w:szCs w:val="28"/>
        </w:rPr>
        <w:t xml:space="preserve"> </w:t>
      </w:r>
      <w:r w:rsidR="00AF31C9" w:rsidRPr="00A41002">
        <w:rPr>
          <w:rFonts w:cs="Arial"/>
          <w:bCs/>
          <w:szCs w:val="28"/>
        </w:rPr>
        <w:t xml:space="preserve">Se </w:t>
      </w:r>
      <w:r w:rsidR="00E952FC" w:rsidRPr="00A41002">
        <w:rPr>
          <w:rFonts w:cs="Arial"/>
          <w:b/>
          <w:szCs w:val="28"/>
        </w:rPr>
        <w:t>confirma</w:t>
      </w:r>
      <w:r w:rsidR="00C2213E" w:rsidRPr="00A41002">
        <w:rPr>
          <w:rFonts w:cs="Arial"/>
          <w:b/>
          <w:szCs w:val="28"/>
        </w:rPr>
        <w:t>, por razones distintas,</w:t>
      </w:r>
      <w:r w:rsidR="00E952FC" w:rsidRPr="00A41002">
        <w:rPr>
          <w:rFonts w:cs="Arial"/>
          <w:b/>
          <w:szCs w:val="28"/>
        </w:rPr>
        <w:t xml:space="preserve"> </w:t>
      </w:r>
      <w:r w:rsidR="00E952FC" w:rsidRPr="00A41002">
        <w:rPr>
          <w:rFonts w:cs="Arial"/>
          <w:bCs/>
          <w:szCs w:val="28"/>
        </w:rPr>
        <w:t>la sentencia controvertida.</w:t>
      </w:r>
    </w:p>
    <w:p w14:paraId="2FE6E314" w14:textId="77777777" w:rsidR="00AF31C9" w:rsidRPr="00A41002" w:rsidRDefault="00AF31C9" w:rsidP="00AF31C9">
      <w:pPr>
        <w:pStyle w:val="Normalsentencia"/>
        <w:rPr>
          <w:rFonts w:ascii="Univers" w:hAnsi="Univers" w:cs="Arial"/>
          <w:szCs w:val="28"/>
        </w:rPr>
      </w:pPr>
      <w:r w:rsidRPr="00A41002">
        <w:rPr>
          <w:rFonts w:ascii="Univers" w:eastAsia="Arial Unicode MS" w:hAnsi="Univers"/>
          <w:b/>
          <w:bCs/>
          <w:szCs w:val="28"/>
        </w:rPr>
        <w:t xml:space="preserve">NOTIFÍQUESE </w:t>
      </w:r>
      <w:r w:rsidRPr="00A41002">
        <w:rPr>
          <w:rFonts w:ascii="Univers" w:eastAsia="Arial Unicode MS" w:hAnsi="Univers"/>
          <w:szCs w:val="28"/>
        </w:rPr>
        <w:t>como en derecho corresponda.</w:t>
      </w:r>
    </w:p>
    <w:p w14:paraId="47A244A4" w14:textId="77777777" w:rsidR="00AF31C9" w:rsidRPr="00A41002" w:rsidRDefault="00AF31C9" w:rsidP="00AF31C9">
      <w:pPr>
        <w:pStyle w:val="Normalsentencia"/>
        <w:rPr>
          <w:rFonts w:ascii="Univers" w:eastAsia="Arial Unicode MS" w:hAnsi="Univers"/>
          <w:szCs w:val="28"/>
        </w:rPr>
      </w:pPr>
      <w:r w:rsidRPr="00A41002">
        <w:rPr>
          <w:rFonts w:ascii="Univers" w:eastAsia="Arial Unicode MS" w:hAnsi="Univers"/>
          <w:szCs w:val="28"/>
        </w:rPr>
        <w:t xml:space="preserve">Se </w:t>
      </w:r>
      <w:r w:rsidRPr="00A41002">
        <w:rPr>
          <w:rFonts w:ascii="Univers" w:eastAsia="Arial Unicode MS" w:hAnsi="Univers"/>
          <w:b/>
          <w:szCs w:val="28"/>
        </w:rPr>
        <w:t>instruye</w:t>
      </w:r>
      <w:r w:rsidRPr="00A41002">
        <w:rPr>
          <w:rFonts w:ascii="Univers" w:eastAsia="Arial Unicode MS" w:hAnsi="Univers"/>
          <w:szCs w:val="28"/>
        </w:rPr>
        <w:t xml:space="preserve"> a la Secretaría General de Acuerdos para que en caso de que con posterioridad se reciba documentación relacionada con el trámite y sustanciación del presente juicio se agregue al expediente para su legal y debida constancia.</w:t>
      </w:r>
    </w:p>
    <w:p w14:paraId="37302145" w14:textId="77777777" w:rsidR="00AF31C9" w:rsidRPr="00A41002" w:rsidRDefault="00AF31C9" w:rsidP="00AF31C9">
      <w:pPr>
        <w:pStyle w:val="Normalsentencia"/>
        <w:rPr>
          <w:rFonts w:ascii="Univers" w:hAnsi="Univers"/>
          <w:color w:val="000000" w:themeColor="text1"/>
          <w:szCs w:val="28"/>
          <w:lang w:eastAsia="es-MX"/>
        </w:rPr>
      </w:pPr>
      <w:r w:rsidRPr="00A41002">
        <w:rPr>
          <w:rFonts w:ascii="Univers" w:hAnsi="Univers"/>
          <w:color w:val="000000" w:themeColor="text1"/>
          <w:szCs w:val="28"/>
          <w:lang w:eastAsia="es-MX"/>
        </w:rPr>
        <w:t xml:space="preserve">En su oportunidad, </w:t>
      </w:r>
      <w:r w:rsidRPr="00A41002">
        <w:rPr>
          <w:rFonts w:ascii="Univers" w:hAnsi="Univers"/>
          <w:b/>
          <w:bCs/>
          <w:color w:val="000000" w:themeColor="text1"/>
          <w:szCs w:val="28"/>
          <w:lang w:eastAsia="es-MX"/>
        </w:rPr>
        <w:t>archívese</w:t>
      </w:r>
      <w:r w:rsidRPr="00A41002">
        <w:rPr>
          <w:rFonts w:ascii="Univers" w:hAnsi="Univers"/>
          <w:color w:val="000000" w:themeColor="text1"/>
          <w:szCs w:val="28"/>
          <w:lang w:eastAsia="es-MX"/>
        </w:rPr>
        <w:t xml:space="preserve"> el expediente como asunto total y definitivamente concluido y, en su caso,</w:t>
      </w:r>
      <w:r w:rsidRPr="00A41002">
        <w:rPr>
          <w:rFonts w:ascii="Univers" w:hAnsi="Univers"/>
          <w:b/>
          <w:bCs/>
          <w:color w:val="000000" w:themeColor="text1"/>
          <w:szCs w:val="28"/>
          <w:lang w:eastAsia="es-MX"/>
        </w:rPr>
        <w:t xml:space="preserve"> devuélvanse</w:t>
      </w:r>
      <w:r w:rsidRPr="00A41002">
        <w:rPr>
          <w:rFonts w:ascii="Univers" w:hAnsi="Univers"/>
          <w:color w:val="000000" w:themeColor="text1"/>
          <w:szCs w:val="28"/>
          <w:lang w:eastAsia="es-MX"/>
        </w:rPr>
        <w:t xml:space="preserve"> las constancias atinentes.</w:t>
      </w:r>
    </w:p>
    <w:p w14:paraId="4C7917CD" w14:textId="03C1C790" w:rsidR="00AF31C9" w:rsidRPr="00A41002" w:rsidRDefault="003F6DD1" w:rsidP="00AF31C9">
      <w:pPr>
        <w:pStyle w:val="General"/>
        <w:spacing w:before="100" w:beforeAutospacing="1" w:after="100" w:afterAutospacing="1" w:line="348" w:lineRule="auto"/>
        <w:ind w:right="-147"/>
        <w:rPr>
          <w:rFonts w:ascii="Univers" w:hAnsi="Univers" w:cs="Arial"/>
          <w:color w:val="000000" w:themeColor="text1"/>
          <w:szCs w:val="28"/>
        </w:rPr>
      </w:pPr>
      <w:r w:rsidRPr="00A41002">
        <w:rPr>
          <w:rFonts w:ascii="Univers" w:hAnsi="Univers" w:cs="Segoe UI"/>
          <w:color w:val="000000" w:themeColor="text1"/>
          <w:szCs w:val="28"/>
        </w:rPr>
        <w:lastRenderedPageBreak/>
        <w:t xml:space="preserve">Así lo resolvieron, por </w:t>
      </w:r>
      <w:r w:rsidR="00337C08" w:rsidRPr="00A41002">
        <w:rPr>
          <w:rFonts w:ascii="Univers" w:hAnsi="Univers" w:cs="Segoe UI"/>
          <w:b/>
          <w:bCs/>
          <w:color w:val="000000" w:themeColor="text1"/>
          <w:szCs w:val="28"/>
        </w:rPr>
        <w:t>unanimidad</w:t>
      </w:r>
      <w:r w:rsidRPr="00A41002">
        <w:rPr>
          <w:rFonts w:ascii="Univers" w:hAnsi="Univers" w:cs="Segoe UI"/>
          <w:color w:val="000000" w:themeColor="text1"/>
          <w:szCs w:val="28"/>
        </w:rPr>
        <w:t xml:space="preserve"> de votos, </w:t>
      </w:r>
      <w:r w:rsidR="00A94C59" w:rsidRPr="00A41002">
        <w:rPr>
          <w:rFonts w:ascii="Univers" w:hAnsi="Univers" w:cs="Segoe UI"/>
          <w:color w:val="000000" w:themeColor="text1"/>
          <w:szCs w:val="28"/>
        </w:rPr>
        <w:t>las magistraturas integrantes de la Sala Regional del Tribunal Electoral del Poder Judicial de la Federación, correspondiente a la Tercera Circunscripción Plurinominal Electoral, Eva Barrientos Zepeda, presidenta, Enrique Figueroa Ávila y José Antonio Troncoso Ávila, quien actúa en funciones de magistrado, ante Mariana Villegas Herrera secretaria general de acuerdos, quien autoriza y da fe</w:t>
      </w:r>
      <w:r w:rsidRPr="00A41002">
        <w:rPr>
          <w:rFonts w:ascii="Univers" w:hAnsi="Univers" w:cs="Segoe UI"/>
          <w:color w:val="000000" w:themeColor="text1"/>
          <w:szCs w:val="28"/>
        </w:rPr>
        <w:t>.</w:t>
      </w:r>
    </w:p>
    <w:p w14:paraId="76BC86D4" w14:textId="4560D4B3" w:rsidR="009F519F" w:rsidRDefault="00AF31C9" w:rsidP="003F6DD1">
      <w:pPr>
        <w:pStyle w:val="Normalsentencia"/>
        <w:widowControl w:val="0"/>
        <w:spacing w:line="240" w:lineRule="auto"/>
      </w:pPr>
      <w:r w:rsidRPr="00A41002">
        <w:rPr>
          <w:rFonts w:ascii="Univers" w:eastAsia="Calibri" w:hAnsi="Univers"/>
          <w:color w:val="000000" w:themeColor="text1"/>
          <w:sz w:val="22"/>
          <w:lang w:eastAsia="en-US"/>
        </w:rPr>
        <w:t>Este documento es una representación gráfica autorizada mediante firmas electrónicas certificadas, el cual tiene plena validez jurídica de conformidad con el numeral segundo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sustanciación y resolución de los medios de impugnación en materia electoral.</w:t>
      </w:r>
    </w:p>
    <w:sectPr w:rsidR="009F519F" w:rsidSect="00E845C7">
      <w:headerReference w:type="even" r:id="rId9"/>
      <w:headerReference w:type="default" r:id="rId10"/>
      <w:footerReference w:type="even" r:id="rId11"/>
      <w:footerReference w:type="default" r:id="rId12"/>
      <w:headerReference w:type="first" r:id="rId13"/>
      <w:pgSz w:w="12240" w:h="18720" w:code="14"/>
      <w:pgMar w:top="2835" w:right="1418" w:bottom="1418" w:left="2552" w:header="1417"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75D1" w14:textId="77777777" w:rsidR="00D44150" w:rsidRDefault="00D44150" w:rsidP="00AF31C9">
      <w:pPr>
        <w:spacing w:before="0" w:after="0" w:line="240" w:lineRule="auto"/>
      </w:pPr>
      <w:r>
        <w:separator/>
      </w:r>
    </w:p>
  </w:endnote>
  <w:endnote w:type="continuationSeparator" w:id="0">
    <w:p w14:paraId="2BB67A41" w14:textId="77777777" w:rsidR="00D44150" w:rsidRDefault="00D44150" w:rsidP="00AF31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D974" w14:textId="77777777" w:rsidR="00A92DE1" w:rsidRPr="00D80426" w:rsidRDefault="00870003" w:rsidP="007B3827">
    <w:pPr>
      <w:pStyle w:val="Piedepgina"/>
      <w:jc w:val="left"/>
      <w:rPr>
        <w:rFonts w:ascii="Univers" w:hAnsi="Univers"/>
        <w:caps/>
        <w:color w:val="0D0D0D" w:themeColor="text1" w:themeTint="F2"/>
        <w:sz w:val="24"/>
        <w:szCs w:val="22"/>
      </w:rPr>
    </w:pPr>
    <w:r w:rsidRPr="00D80426">
      <w:rPr>
        <w:rFonts w:ascii="Univers" w:hAnsi="Univers"/>
        <w:caps/>
        <w:color w:val="0D0D0D" w:themeColor="text1" w:themeTint="F2"/>
        <w:sz w:val="24"/>
        <w:szCs w:val="22"/>
      </w:rPr>
      <w:fldChar w:fldCharType="begin"/>
    </w:r>
    <w:r w:rsidRPr="00D80426">
      <w:rPr>
        <w:rFonts w:ascii="Univers" w:hAnsi="Univers"/>
        <w:caps/>
        <w:color w:val="0D0D0D" w:themeColor="text1" w:themeTint="F2"/>
        <w:sz w:val="24"/>
        <w:szCs w:val="22"/>
      </w:rPr>
      <w:instrText>PAGE   \* MERGEFORMAT</w:instrText>
    </w:r>
    <w:r w:rsidRPr="00D80426">
      <w:rPr>
        <w:rFonts w:ascii="Univers" w:hAnsi="Univers"/>
        <w:caps/>
        <w:color w:val="0D0D0D" w:themeColor="text1" w:themeTint="F2"/>
        <w:sz w:val="24"/>
        <w:szCs w:val="22"/>
      </w:rPr>
      <w:fldChar w:fldCharType="separate"/>
    </w:r>
    <w:r w:rsidRPr="00D80426">
      <w:rPr>
        <w:rFonts w:ascii="Univers" w:hAnsi="Univers"/>
        <w:caps/>
        <w:color w:val="0D0D0D" w:themeColor="text1" w:themeTint="F2"/>
        <w:sz w:val="24"/>
        <w:szCs w:val="22"/>
        <w:lang w:val="es-ES"/>
      </w:rPr>
      <w:t>2</w:t>
    </w:r>
    <w:r w:rsidRPr="00D80426">
      <w:rPr>
        <w:rFonts w:ascii="Univers" w:hAnsi="Univers"/>
        <w:caps/>
        <w:color w:val="0D0D0D" w:themeColor="text1" w:themeTint="F2"/>
        <w:sz w:val="24"/>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38E3" w14:textId="77777777" w:rsidR="00A92DE1" w:rsidRPr="009F087A" w:rsidRDefault="00870003" w:rsidP="007B3827">
    <w:pPr>
      <w:pStyle w:val="Piedepgina"/>
      <w:jc w:val="right"/>
      <w:rPr>
        <w:rFonts w:ascii="Univers" w:hAnsi="Univers"/>
        <w:b/>
        <w:bCs/>
        <w:caps/>
        <w:color w:val="0D0D0D" w:themeColor="text1" w:themeTint="F2"/>
        <w:sz w:val="24"/>
        <w:szCs w:val="22"/>
      </w:rPr>
    </w:pPr>
    <w:r w:rsidRPr="009F087A">
      <w:rPr>
        <w:rFonts w:ascii="Univers" w:hAnsi="Univers"/>
        <w:b/>
        <w:bCs/>
        <w:caps/>
        <w:color w:val="0D0D0D" w:themeColor="text1" w:themeTint="F2"/>
        <w:sz w:val="24"/>
        <w:szCs w:val="22"/>
      </w:rPr>
      <w:fldChar w:fldCharType="begin"/>
    </w:r>
    <w:r w:rsidRPr="009F087A">
      <w:rPr>
        <w:rFonts w:ascii="Univers" w:hAnsi="Univers"/>
        <w:b/>
        <w:bCs/>
        <w:caps/>
        <w:color w:val="0D0D0D" w:themeColor="text1" w:themeTint="F2"/>
        <w:sz w:val="24"/>
        <w:szCs w:val="22"/>
      </w:rPr>
      <w:instrText>PAGE   \* MERGEFORMAT</w:instrText>
    </w:r>
    <w:r w:rsidRPr="009F087A">
      <w:rPr>
        <w:rFonts w:ascii="Univers" w:hAnsi="Univers"/>
        <w:b/>
        <w:bCs/>
        <w:caps/>
        <w:color w:val="0D0D0D" w:themeColor="text1" w:themeTint="F2"/>
        <w:sz w:val="24"/>
        <w:szCs w:val="22"/>
      </w:rPr>
      <w:fldChar w:fldCharType="separate"/>
    </w:r>
    <w:r w:rsidRPr="009F087A">
      <w:rPr>
        <w:rFonts w:ascii="Univers" w:hAnsi="Univers"/>
        <w:b/>
        <w:bCs/>
        <w:caps/>
        <w:color w:val="0D0D0D" w:themeColor="text1" w:themeTint="F2"/>
        <w:sz w:val="24"/>
        <w:szCs w:val="22"/>
      </w:rPr>
      <w:t>2</w:t>
    </w:r>
    <w:r w:rsidRPr="009F087A">
      <w:rPr>
        <w:rFonts w:ascii="Univers" w:hAnsi="Univers"/>
        <w:b/>
        <w:bCs/>
        <w:caps/>
        <w:color w:val="0D0D0D" w:themeColor="text1" w:themeTint="F2"/>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7450" w14:textId="77777777" w:rsidR="00D44150" w:rsidRDefault="00D44150" w:rsidP="00AF31C9">
      <w:pPr>
        <w:spacing w:before="0" w:after="0" w:line="240" w:lineRule="auto"/>
      </w:pPr>
      <w:r>
        <w:separator/>
      </w:r>
    </w:p>
  </w:footnote>
  <w:footnote w:type="continuationSeparator" w:id="0">
    <w:p w14:paraId="7E041A37" w14:textId="77777777" w:rsidR="00D44150" w:rsidRDefault="00D44150" w:rsidP="00AF31C9">
      <w:pPr>
        <w:spacing w:before="0" w:after="0" w:line="240" w:lineRule="auto"/>
      </w:pPr>
      <w:r>
        <w:continuationSeparator/>
      </w:r>
    </w:p>
  </w:footnote>
  <w:footnote w:id="1">
    <w:p w14:paraId="0D5AA3D4" w14:textId="63FA6071" w:rsidR="007111CB" w:rsidRPr="006A5D2C" w:rsidRDefault="007111CB" w:rsidP="00D172BD">
      <w:pPr>
        <w:pStyle w:val="Textonotapie"/>
        <w:rPr>
          <w:sz w:val="20"/>
          <w:szCs w:val="20"/>
        </w:rPr>
      </w:pPr>
      <w:r w:rsidRPr="006A5D2C">
        <w:rPr>
          <w:rStyle w:val="Refdenotaalpie"/>
          <w:rFonts w:eastAsiaTheme="majorEastAsia"/>
          <w:sz w:val="20"/>
          <w:szCs w:val="20"/>
        </w:rPr>
        <w:footnoteRef/>
      </w:r>
      <w:r w:rsidRPr="006A5D2C">
        <w:rPr>
          <w:sz w:val="20"/>
          <w:szCs w:val="20"/>
        </w:rPr>
        <w:t xml:space="preserve"> En lo subsecuente se le podrá referir como juicio de la ciudadanía, juicio federal o juicio.</w:t>
      </w:r>
    </w:p>
  </w:footnote>
  <w:footnote w:id="2">
    <w:p w14:paraId="3FE9BC76" w14:textId="11BDFD2B" w:rsidR="006A5D2C" w:rsidRPr="006A5D2C" w:rsidRDefault="006A5D2C">
      <w:pPr>
        <w:pStyle w:val="Textonotapie"/>
        <w:rPr>
          <w:sz w:val="20"/>
          <w:szCs w:val="20"/>
        </w:rPr>
      </w:pPr>
      <w:r w:rsidRPr="006A5D2C">
        <w:rPr>
          <w:rStyle w:val="Refdenotaalpie"/>
          <w:sz w:val="20"/>
          <w:szCs w:val="20"/>
        </w:rPr>
        <w:footnoteRef/>
      </w:r>
      <w:r w:rsidRPr="006A5D2C">
        <w:rPr>
          <w:sz w:val="20"/>
          <w:szCs w:val="20"/>
        </w:rPr>
        <w:t xml:space="preserve"> Si bien, en su escrito de comparecencia se asentó el nombre de Gabina del Rosario Mex Rivas, de</w:t>
      </w:r>
      <w:r>
        <w:rPr>
          <w:sz w:val="20"/>
          <w:szCs w:val="20"/>
        </w:rPr>
        <w:t xml:space="preserve"> la foja 42 del</w:t>
      </w:r>
      <w:r w:rsidRPr="006A5D2C">
        <w:rPr>
          <w:sz w:val="20"/>
          <w:szCs w:val="20"/>
        </w:rPr>
        <w:t xml:space="preserve"> cuaderno accesorio único es posible desprender copia de </w:t>
      </w:r>
      <w:r>
        <w:rPr>
          <w:sz w:val="20"/>
          <w:szCs w:val="20"/>
        </w:rPr>
        <w:t xml:space="preserve">la </w:t>
      </w:r>
      <w:r w:rsidRPr="006A5D2C">
        <w:rPr>
          <w:sz w:val="20"/>
          <w:szCs w:val="20"/>
        </w:rPr>
        <w:t>credencial de elector</w:t>
      </w:r>
      <w:r>
        <w:rPr>
          <w:sz w:val="20"/>
          <w:szCs w:val="20"/>
        </w:rPr>
        <w:t xml:space="preserve"> de la entonces promovente</w:t>
      </w:r>
      <w:r w:rsidRPr="006A5D2C">
        <w:rPr>
          <w:sz w:val="20"/>
          <w:szCs w:val="20"/>
        </w:rPr>
        <w:t xml:space="preserve"> de la que se advierte que el nombre correcto es Gabina del Rosario Mex Vivas.</w:t>
      </w:r>
    </w:p>
  </w:footnote>
  <w:footnote w:id="3">
    <w:p w14:paraId="28DF561E" w14:textId="3F1E63F0" w:rsidR="00486A12" w:rsidRPr="006A5D2C" w:rsidRDefault="00486A12" w:rsidP="00D172BD">
      <w:pPr>
        <w:pStyle w:val="Textonotapie"/>
        <w:rPr>
          <w:sz w:val="20"/>
          <w:szCs w:val="20"/>
        </w:rPr>
      </w:pPr>
      <w:r w:rsidRPr="006A5D2C">
        <w:rPr>
          <w:rStyle w:val="Refdenotaalpie"/>
          <w:rFonts w:eastAsiaTheme="majorEastAsia"/>
          <w:sz w:val="20"/>
          <w:szCs w:val="20"/>
        </w:rPr>
        <w:footnoteRef/>
      </w:r>
      <w:r w:rsidRPr="006A5D2C">
        <w:rPr>
          <w:sz w:val="20"/>
          <w:szCs w:val="20"/>
        </w:rPr>
        <w:t xml:space="preserve"> En adelante se le puede mencionar como actor, promovente o parte actora.</w:t>
      </w:r>
    </w:p>
  </w:footnote>
  <w:footnote w:id="4">
    <w:p w14:paraId="1AF77E2A" w14:textId="40B00DA4" w:rsidR="00486A12" w:rsidRPr="006A5D2C" w:rsidRDefault="00486A12" w:rsidP="00D172BD">
      <w:pPr>
        <w:pStyle w:val="Textonotapie"/>
        <w:rPr>
          <w:sz w:val="20"/>
          <w:szCs w:val="20"/>
        </w:rPr>
      </w:pPr>
      <w:r w:rsidRPr="006A5D2C">
        <w:rPr>
          <w:rStyle w:val="Refdenotaalpie"/>
          <w:rFonts w:eastAsiaTheme="majorEastAsia"/>
          <w:sz w:val="20"/>
          <w:szCs w:val="20"/>
        </w:rPr>
        <w:footnoteRef/>
      </w:r>
      <w:r w:rsidRPr="006A5D2C">
        <w:rPr>
          <w:sz w:val="20"/>
          <w:szCs w:val="20"/>
        </w:rPr>
        <w:t xml:space="preserve"> En adelante podrá referirse como Tribunal Electoral local, Tribunal responsable o por sus siglas TEE</w:t>
      </w:r>
      <w:r w:rsidR="001F12A7" w:rsidRPr="006A5D2C">
        <w:rPr>
          <w:sz w:val="20"/>
          <w:szCs w:val="20"/>
        </w:rPr>
        <w:t>Y</w:t>
      </w:r>
      <w:r w:rsidRPr="006A5D2C">
        <w:rPr>
          <w:sz w:val="20"/>
          <w:szCs w:val="20"/>
        </w:rPr>
        <w:t>.</w:t>
      </w:r>
    </w:p>
  </w:footnote>
  <w:footnote w:id="5">
    <w:p w14:paraId="731B8DB9" w14:textId="77777777" w:rsidR="00860C21" w:rsidRPr="006A5D2C" w:rsidRDefault="00860C21" w:rsidP="00D172BD">
      <w:pPr>
        <w:pStyle w:val="Textonotapie"/>
        <w:rPr>
          <w:sz w:val="20"/>
          <w:szCs w:val="20"/>
        </w:rPr>
      </w:pPr>
      <w:r w:rsidRPr="006A5D2C">
        <w:rPr>
          <w:rStyle w:val="Refdenotaalpie"/>
          <w:rFonts w:eastAsiaTheme="majorEastAsia"/>
          <w:sz w:val="20"/>
          <w:szCs w:val="20"/>
        </w:rPr>
        <w:footnoteRef/>
      </w:r>
      <w:r w:rsidRPr="006A5D2C">
        <w:rPr>
          <w:sz w:val="20"/>
          <w:szCs w:val="20"/>
        </w:rPr>
        <w:t xml:space="preserve"> Visible a foja 84 del cuaderno accesorio único.</w:t>
      </w:r>
    </w:p>
  </w:footnote>
  <w:footnote w:id="6">
    <w:p w14:paraId="0318E826" w14:textId="77777777" w:rsidR="00860C21" w:rsidRPr="006A5D2C" w:rsidRDefault="00860C21" w:rsidP="00D172BD">
      <w:pPr>
        <w:pStyle w:val="Textonotapie"/>
        <w:rPr>
          <w:sz w:val="20"/>
          <w:szCs w:val="20"/>
        </w:rPr>
      </w:pPr>
      <w:r w:rsidRPr="006A5D2C">
        <w:rPr>
          <w:rStyle w:val="Refdenotaalpie"/>
          <w:rFonts w:eastAsiaTheme="majorEastAsia"/>
          <w:sz w:val="20"/>
          <w:szCs w:val="20"/>
        </w:rPr>
        <w:footnoteRef/>
      </w:r>
      <w:r w:rsidRPr="006A5D2C">
        <w:rPr>
          <w:sz w:val="20"/>
          <w:szCs w:val="20"/>
        </w:rPr>
        <w:t xml:space="preserve"> En adelante se le podrá citar como Consejo Electoral o Consejo de la Elección. </w:t>
      </w:r>
    </w:p>
  </w:footnote>
  <w:footnote w:id="7">
    <w:p w14:paraId="6D8EA9AE" w14:textId="77777777" w:rsidR="00860C21" w:rsidRPr="006A5D2C" w:rsidRDefault="00860C21" w:rsidP="00D172BD">
      <w:pPr>
        <w:pStyle w:val="Textonotapie"/>
        <w:rPr>
          <w:sz w:val="20"/>
          <w:szCs w:val="20"/>
        </w:rPr>
      </w:pPr>
      <w:r w:rsidRPr="006A5D2C">
        <w:rPr>
          <w:rStyle w:val="Refdenotaalpie"/>
          <w:rFonts w:eastAsiaTheme="majorEastAsia"/>
          <w:sz w:val="20"/>
          <w:szCs w:val="20"/>
        </w:rPr>
        <w:footnoteRef/>
      </w:r>
      <w:r w:rsidRPr="006A5D2C">
        <w:rPr>
          <w:sz w:val="20"/>
          <w:szCs w:val="20"/>
        </w:rPr>
        <w:t xml:space="preserve"> Todas las fechas se referirán al año dos mil veinticinco, salvo mención en contrario.</w:t>
      </w:r>
    </w:p>
  </w:footnote>
  <w:footnote w:id="8">
    <w:p w14:paraId="6F89C6B8" w14:textId="77777777" w:rsidR="003E79D8" w:rsidRPr="006A5D2C" w:rsidRDefault="003E79D8" w:rsidP="00D172BD">
      <w:pPr>
        <w:pStyle w:val="Textonotapie"/>
        <w:rPr>
          <w:sz w:val="20"/>
          <w:szCs w:val="20"/>
        </w:rPr>
      </w:pPr>
      <w:r w:rsidRPr="006A5D2C">
        <w:rPr>
          <w:rStyle w:val="Refdenotaalpie"/>
          <w:rFonts w:eastAsiaTheme="majorEastAsia"/>
          <w:sz w:val="20"/>
          <w:szCs w:val="20"/>
        </w:rPr>
        <w:footnoteRef/>
      </w:r>
      <w:r w:rsidRPr="006A5D2C">
        <w:rPr>
          <w:sz w:val="20"/>
          <w:szCs w:val="20"/>
        </w:rPr>
        <w:t xml:space="preserve"> En lo sucesivo podrá citarse como Ley General de Medios.</w:t>
      </w:r>
    </w:p>
  </w:footnote>
  <w:footnote w:id="9">
    <w:p w14:paraId="5454B1C1" w14:textId="6C276B48" w:rsidR="00375379" w:rsidRPr="006A5D2C" w:rsidRDefault="00375379">
      <w:pPr>
        <w:pStyle w:val="Textonotapie"/>
        <w:rPr>
          <w:sz w:val="20"/>
          <w:szCs w:val="20"/>
        </w:rPr>
      </w:pPr>
      <w:r w:rsidRPr="006A5D2C">
        <w:rPr>
          <w:rStyle w:val="Refdenotaalpie"/>
          <w:sz w:val="20"/>
          <w:szCs w:val="20"/>
        </w:rPr>
        <w:footnoteRef/>
      </w:r>
      <w:r w:rsidRPr="006A5D2C">
        <w:rPr>
          <w:sz w:val="20"/>
          <w:szCs w:val="20"/>
        </w:rPr>
        <w:t xml:space="preserve"> En adelante se le podrá citar como Constitución federal.</w:t>
      </w:r>
    </w:p>
  </w:footnote>
  <w:footnote w:id="10">
    <w:p w14:paraId="54DE1A1B" w14:textId="74E980ED" w:rsidR="00375379" w:rsidRPr="006A5D2C" w:rsidRDefault="00375379">
      <w:pPr>
        <w:pStyle w:val="Textonotapie"/>
        <w:rPr>
          <w:sz w:val="20"/>
          <w:szCs w:val="20"/>
        </w:rPr>
      </w:pPr>
      <w:r w:rsidRPr="006A5D2C">
        <w:rPr>
          <w:rStyle w:val="Refdenotaalpie"/>
          <w:sz w:val="20"/>
          <w:szCs w:val="20"/>
        </w:rPr>
        <w:footnoteRef/>
      </w:r>
      <w:r w:rsidRPr="006A5D2C">
        <w:rPr>
          <w:sz w:val="20"/>
          <w:szCs w:val="20"/>
        </w:rPr>
        <w:t xml:space="preserve"> En adelante se le podrá citar como Ley General de Medios.</w:t>
      </w:r>
    </w:p>
  </w:footnote>
  <w:footnote w:id="11">
    <w:p w14:paraId="1B30C7A3" w14:textId="5C91D2AB" w:rsidR="006F732F" w:rsidRPr="006A5D2C" w:rsidRDefault="006F732F" w:rsidP="00D172BD">
      <w:pPr>
        <w:pStyle w:val="Textonotapie"/>
        <w:rPr>
          <w:sz w:val="20"/>
          <w:szCs w:val="20"/>
        </w:rPr>
      </w:pPr>
      <w:r w:rsidRPr="006A5D2C">
        <w:rPr>
          <w:rStyle w:val="Refdenotaalpie"/>
          <w:sz w:val="20"/>
          <w:szCs w:val="20"/>
        </w:rPr>
        <w:footnoteRef/>
      </w:r>
      <w:r w:rsidRPr="006A5D2C">
        <w:rPr>
          <w:sz w:val="20"/>
          <w:szCs w:val="20"/>
        </w:rPr>
        <w:t xml:space="preserve"> </w:t>
      </w:r>
      <w:r w:rsidR="009274F0" w:rsidRPr="006A5D2C">
        <w:rPr>
          <w:sz w:val="20"/>
          <w:szCs w:val="20"/>
        </w:rPr>
        <w:t>En adelante se le podrá citar como Reglamento del TEPJF.</w:t>
      </w:r>
    </w:p>
  </w:footnote>
  <w:footnote w:id="12">
    <w:p w14:paraId="4D1B838E" w14:textId="48FA299C" w:rsidR="006A3D8A" w:rsidRPr="006A5D2C" w:rsidRDefault="006A3D8A" w:rsidP="00D172BD">
      <w:pPr>
        <w:pStyle w:val="Textonotapie"/>
        <w:rPr>
          <w:sz w:val="20"/>
          <w:szCs w:val="20"/>
        </w:rPr>
      </w:pPr>
      <w:r w:rsidRPr="006A5D2C">
        <w:rPr>
          <w:rStyle w:val="Refdenotaalpie"/>
          <w:sz w:val="20"/>
          <w:szCs w:val="20"/>
        </w:rPr>
        <w:footnoteRef/>
      </w:r>
      <w:r w:rsidRPr="006A5D2C">
        <w:rPr>
          <w:sz w:val="20"/>
          <w:szCs w:val="20"/>
        </w:rPr>
        <w:t xml:space="preserve"> Véase la jurisprudencia </w:t>
      </w:r>
      <w:r w:rsidR="00EE04B4" w:rsidRPr="006A5D2C">
        <w:rPr>
          <w:sz w:val="20"/>
          <w:szCs w:val="20"/>
        </w:rPr>
        <w:t>24/2001 de</w:t>
      </w:r>
      <w:r w:rsidRPr="006A5D2C">
        <w:rPr>
          <w:sz w:val="20"/>
          <w:szCs w:val="20"/>
        </w:rPr>
        <w:t xml:space="preserve"> rubro </w:t>
      </w:r>
      <w:r w:rsidRPr="006A5D2C">
        <w:rPr>
          <w:b/>
          <w:bCs/>
          <w:sz w:val="20"/>
          <w:szCs w:val="20"/>
        </w:rPr>
        <w:t>“TRIBUNAL ELECTORAL DEL PODER JUDICIAL DE LA FEDERACIÓN. ESTÁ FACULTADO CONSTITUCIONALMENTE PARA EXIGIR EL CUMPLIMIENTO DE TODAS SUS RESOLUCIONES.”</w:t>
      </w:r>
      <w:r w:rsidR="00EE04B4" w:rsidRPr="006A5D2C">
        <w:rPr>
          <w:sz w:val="20"/>
          <w:szCs w:val="20"/>
        </w:rPr>
        <w:t xml:space="preserve"> Consultable en </w:t>
      </w:r>
      <w:r w:rsidR="00D172BD" w:rsidRPr="006A5D2C">
        <w:rPr>
          <w:sz w:val="20"/>
          <w:szCs w:val="20"/>
        </w:rPr>
        <w:t>Justicia Electoral. Revista del Tribunal Electoral del Poder Judicial de la Federación, Suplemento 5, Año 2002, página 28</w:t>
      </w:r>
    </w:p>
  </w:footnote>
  <w:footnote w:id="13">
    <w:p w14:paraId="3392B725" w14:textId="77777777" w:rsidR="006A3D8A" w:rsidRPr="006A5D2C" w:rsidRDefault="006A3D8A" w:rsidP="00D172BD">
      <w:pPr>
        <w:pStyle w:val="Textonotapie"/>
        <w:rPr>
          <w:sz w:val="20"/>
          <w:szCs w:val="20"/>
        </w:rPr>
      </w:pPr>
      <w:r w:rsidRPr="006A5D2C">
        <w:rPr>
          <w:rStyle w:val="Refdenotaalpie"/>
          <w:sz w:val="20"/>
          <w:szCs w:val="20"/>
        </w:rPr>
        <w:footnoteRef/>
      </w:r>
      <w:r w:rsidRPr="006A5D2C">
        <w:rPr>
          <w:sz w:val="20"/>
          <w:szCs w:val="20"/>
        </w:rPr>
        <w:t xml:space="preserve"> Al respecto, véase la tesis XCVII/2001 de esta Sala Superior, de rubro “EJECUCIÓN DE SENTENCIA. LA TUTELA JURISDICCIONAL EFECTIVA COMPRENDE LA REMOCIÓN DE TODOS LOS OBSTÁCULOS QUE LA IMPIDAN”</w:t>
      </w:r>
    </w:p>
  </w:footnote>
  <w:footnote w:id="14">
    <w:p w14:paraId="53670DFA" w14:textId="43976A6A" w:rsidR="008E47AE" w:rsidRPr="006A5D2C" w:rsidRDefault="008E47AE" w:rsidP="00D172BD">
      <w:pPr>
        <w:pStyle w:val="Textonotapie"/>
        <w:rPr>
          <w:sz w:val="20"/>
          <w:szCs w:val="20"/>
        </w:rPr>
      </w:pPr>
      <w:r w:rsidRPr="006A5D2C">
        <w:rPr>
          <w:rStyle w:val="Refdenotaalpie"/>
          <w:rFonts w:eastAsiaTheme="majorEastAsia"/>
          <w:sz w:val="20"/>
          <w:szCs w:val="20"/>
        </w:rPr>
        <w:footnoteRef/>
      </w:r>
      <w:r w:rsidRPr="006A5D2C">
        <w:rPr>
          <w:sz w:val="20"/>
          <w:szCs w:val="20"/>
        </w:rPr>
        <w:t xml:space="preserve"> Constancia</w:t>
      </w:r>
      <w:r w:rsidR="003E0325" w:rsidRPr="006A5D2C">
        <w:rPr>
          <w:sz w:val="20"/>
          <w:szCs w:val="20"/>
        </w:rPr>
        <w:t>s</w:t>
      </w:r>
      <w:r w:rsidRPr="006A5D2C">
        <w:rPr>
          <w:sz w:val="20"/>
          <w:szCs w:val="20"/>
        </w:rPr>
        <w:t xml:space="preserve"> visible</w:t>
      </w:r>
      <w:r w:rsidR="003E0325" w:rsidRPr="006A5D2C">
        <w:rPr>
          <w:sz w:val="20"/>
          <w:szCs w:val="20"/>
        </w:rPr>
        <w:t>s</w:t>
      </w:r>
      <w:r w:rsidRPr="006A5D2C">
        <w:rPr>
          <w:sz w:val="20"/>
          <w:szCs w:val="20"/>
        </w:rPr>
        <w:t xml:space="preserve"> en la</w:t>
      </w:r>
      <w:r w:rsidR="003E0325" w:rsidRPr="006A5D2C">
        <w:rPr>
          <w:sz w:val="20"/>
          <w:szCs w:val="20"/>
        </w:rPr>
        <w:t>s</w:t>
      </w:r>
      <w:r w:rsidRPr="006A5D2C">
        <w:rPr>
          <w:sz w:val="20"/>
          <w:szCs w:val="20"/>
        </w:rPr>
        <w:t xml:space="preserve"> foja</w:t>
      </w:r>
      <w:r w:rsidR="003E0325" w:rsidRPr="006A5D2C">
        <w:rPr>
          <w:sz w:val="20"/>
          <w:szCs w:val="20"/>
        </w:rPr>
        <w:t>s</w:t>
      </w:r>
      <w:r w:rsidRPr="006A5D2C">
        <w:rPr>
          <w:sz w:val="20"/>
          <w:szCs w:val="20"/>
        </w:rPr>
        <w:t xml:space="preserve"> </w:t>
      </w:r>
      <w:r w:rsidR="003E0325" w:rsidRPr="006A5D2C">
        <w:rPr>
          <w:sz w:val="20"/>
          <w:szCs w:val="20"/>
        </w:rPr>
        <w:t>26-27</w:t>
      </w:r>
      <w:r w:rsidRPr="006A5D2C">
        <w:rPr>
          <w:sz w:val="20"/>
          <w:szCs w:val="20"/>
        </w:rPr>
        <w:t xml:space="preserve"> del expediente principal.</w:t>
      </w:r>
    </w:p>
  </w:footnote>
  <w:footnote w:id="15">
    <w:p w14:paraId="33900F5B" w14:textId="55F1949D" w:rsidR="008E47AE" w:rsidRPr="006A5D2C" w:rsidRDefault="008E47AE" w:rsidP="00D172BD">
      <w:pPr>
        <w:pStyle w:val="Textonotapie"/>
        <w:rPr>
          <w:sz w:val="20"/>
          <w:szCs w:val="20"/>
        </w:rPr>
      </w:pPr>
      <w:r w:rsidRPr="006A5D2C">
        <w:rPr>
          <w:rStyle w:val="Refdenotaalpie"/>
          <w:rFonts w:eastAsiaTheme="majorEastAsia"/>
          <w:sz w:val="20"/>
          <w:szCs w:val="20"/>
        </w:rPr>
        <w:footnoteRef/>
      </w:r>
      <w:r w:rsidRPr="006A5D2C">
        <w:rPr>
          <w:sz w:val="20"/>
          <w:szCs w:val="20"/>
        </w:rPr>
        <w:t xml:space="preserve"> </w:t>
      </w:r>
      <w:r w:rsidR="00D26EED" w:rsidRPr="006A5D2C">
        <w:rPr>
          <w:sz w:val="20"/>
          <w:szCs w:val="20"/>
        </w:rPr>
        <w:t>Tal como se observa a</w:t>
      </w:r>
      <w:r w:rsidRPr="006A5D2C">
        <w:rPr>
          <w:sz w:val="20"/>
          <w:szCs w:val="20"/>
        </w:rPr>
        <w:t xml:space="preserve"> foja</w:t>
      </w:r>
      <w:r w:rsidR="00D26EED" w:rsidRPr="006A5D2C">
        <w:rPr>
          <w:sz w:val="20"/>
          <w:szCs w:val="20"/>
        </w:rPr>
        <w:t>s</w:t>
      </w:r>
      <w:r w:rsidRPr="006A5D2C">
        <w:rPr>
          <w:sz w:val="20"/>
          <w:szCs w:val="20"/>
        </w:rPr>
        <w:t xml:space="preserve"> </w:t>
      </w:r>
      <w:r w:rsidR="00D26EED" w:rsidRPr="006A5D2C">
        <w:rPr>
          <w:sz w:val="20"/>
          <w:szCs w:val="20"/>
        </w:rPr>
        <w:t>28</w:t>
      </w:r>
      <w:r w:rsidRPr="006A5D2C">
        <w:rPr>
          <w:sz w:val="20"/>
          <w:szCs w:val="20"/>
        </w:rPr>
        <w:t xml:space="preserve"> </w:t>
      </w:r>
      <w:r w:rsidR="00D26EED" w:rsidRPr="006A5D2C">
        <w:rPr>
          <w:sz w:val="20"/>
          <w:szCs w:val="20"/>
        </w:rPr>
        <w:t xml:space="preserve">y 30 </w:t>
      </w:r>
      <w:r w:rsidRPr="006A5D2C">
        <w:rPr>
          <w:sz w:val="20"/>
          <w:szCs w:val="20"/>
        </w:rPr>
        <w:t>del expediente principal.</w:t>
      </w:r>
    </w:p>
  </w:footnote>
  <w:footnote w:id="16">
    <w:p w14:paraId="38A9E03D" w14:textId="77777777" w:rsidR="008E47AE" w:rsidRPr="006A5D2C" w:rsidRDefault="008E47AE" w:rsidP="00D172BD">
      <w:pPr>
        <w:pStyle w:val="Textonotapie"/>
        <w:rPr>
          <w:sz w:val="20"/>
          <w:szCs w:val="20"/>
        </w:rPr>
      </w:pPr>
      <w:r w:rsidRPr="006A5D2C">
        <w:rPr>
          <w:rStyle w:val="Refdenotaalpie"/>
          <w:rFonts w:eastAsiaTheme="majorEastAsia"/>
          <w:sz w:val="20"/>
          <w:szCs w:val="20"/>
        </w:rPr>
        <w:footnoteRef/>
      </w:r>
      <w:r w:rsidRPr="006A5D2C">
        <w:rPr>
          <w:sz w:val="20"/>
          <w:szCs w:val="20"/>
        </w:rPr>
        <w:t xml:space="preserve"> De conformidad con el artículo 17, apartado 1, inciso b), de la Ley General de Medios.</w:t>
      </w:r>
    </w:p>
  </w:footnote>
  <w:footnote w:id="17">
    <w:p w14:paraId="7DFAF078" w14:textId="227D8608" w:rsidR="00573456" w:rsidRPr="006A5D2C" w:rsidRDefault="00573456" w:rsidP="00D172BD">
      <w:pPr>
        <w:pStyle w:val="Textonotapie"/>
        <w:rPr>
          <w:sz w:val="20"/>
          <w:szCs w:val="20"/>
        </w:rPr>
      </w:pPr>
      <w:r w:rsidRPr="006A5D2C">
        <w:rPr>
          <w:rStyle w:val="Refdenotaalpie"/>
          <w:sz w:val="20"/>
          <w:szCs w:val="20"/>
        </w:rPr>
        <w:footnoteRef/>
      </w:r>
      <w:r w:rsidRPr="006A5D2C">
        <w:rPr>
          <w:sz w:val="20"/>
          <w:szCs w:val="20"/>
        </w:rPr>
        <w:t xml:space="preserve"> Tal como se observa a </w:t>
      </w:r>
      <w:r w:rsidR="003F6933" w:rsidRPr="006A5D2C">
        <w:rPr>
          <w:sz w:val="20"/>
          <w:szCs w:val="20"/>
        </w:rPr>
        <w:t xml:space="preserve">partir de la </w:t>
      </w:r>
      <w:r w:rsidRPr="006A5D2C">
        <w:rPr>
          <w:sz w:val="20"/>
          <w:szCs w:val="20"/>
        </w:rPr>
        <w:t xml:space="preserve">foja </w:t>
      </w:r>
      <w:r w:rsidR="00F02E8E" w:rsidRPr="006A5D2C">
        <w:rPr>
          <w:sz w:val="20"/>
          <w:szCs w:val="20"/>
        </w:rPr>
        <w:t>47 del cuaderno accesorio único.</w:t>
      </w:r>
    </w:p>
  </w:footnote>
  <w:footnote w:id="18">
    <w:p w14:paraId="71ABFA98" w14:textId="77777777" w:rsidR="0054051C" w:rsidRPr="006A5D2C" w:rsidRDefault="0054051C" w:rsidP="00D172BD">
      <w:pPr>
        <w:pStyle w:val="Textonotapie"/>
        <w:rPr>
          <w:sz w:val="20"/>
          <w:szCs w:val="20"/>
        </w:rPr>
      </w:pPr>
      <w:r w:rsidRPr="006A5D2C">
        <w:rPr>
          <w:rStyle w:val="Refdenotaalpie"/>
          <w:rFonts w:eastAsiaTheme="majorEastAsia"/>
          <w:sz w:val="20"/>
          <w:szCs w:val="20"/>
        </w:rPr>
        <w:footnoteRef/>
      </w:r>
      <w:r w:rsidRPr="006A5D2C">
        <w:rPr>
          <w:sz w:val="20"/>
          <w:szCs w:val="20"/>
        </w:rPr>
        <w:t xml:space="preserve"> Argumento visible a fojas 06 del expediente principal.</w:t>
      </w:r>
    </w:p>
  </w:footnote>
  <w:footnote w:id="19">
    <w:p w14:paraId="4699DD6C" w14:textId="77777777" w:rsidR="00ED0859" w:rsidRPr="006A5D2C" w:rsidRDefault="00ED0859" w:rsidP="00D172BD">
      <w:pPr>
        <w:shd w:val="clear" w:color="auto" w:fill="FFFFFF"/>
        <w:spacing w:before="0" w:after="0" w:line="240" w:lineRule="auto"/>
        <w:rPr>
          <w:sz w:val="20"/>
          <w:szCs w:val="20"/>
        </w:rPr>
      </w:pPr>
      <w:r w:rsidRPr="006A5D2C">
        <w:rPr>
          <w:rStyle w:val="Refdenotaalpie"/>
          <w:rFonts w:eastAsiaTheme="majorEastAsia"/>
          <w:sz w:val="20"/>
          <w:szCs w:val="20"/>
        </w:rPr>
        <w:footnoteRef/>
      </w:r>
      <w:r w:rsidRPr="006A5D2C">
        <w:rPr>
          <w:sz w:val="20"/>
          <w:szCs w:val="20"/>
        </w:rPr>
        <w:t xml:space="preserve"> Consultable en </w:t>
      </w:r>
      <w:r w:rsidRPr="006A5D2C">
        <w:rPr>
          <w:rFonts w:cs="Arial"/>
          <w:sz w:val="20"/>
          <w:szCs w:val="20"/>
        </w:rPr>
        <w:t>Justicia Electoral. Revista del Tribunal Electoral del Poder Judicial de la Federación, Suplemento 4, Año 2001, páginas 5 y 6; así como en la página electrónica https://www.te.gob.mx/IUSEapp/.</w:t>
      </w:r>
    </w:p>
  </w:footnote>
  <w:footnote w:id="20">
    <w:p w14:paraId="1C07D730" w14:textId="77777777" w:rsidR="00C25439" w:rsidRPr="006A5D2C" w:rsidRDefault="00C25439" w:rsidP="00D172BD">
      <w:pPr>
        <w:pStyle w:val="Textonotapie"/>
        <w:rPr>
          <w:sz w:val="20"/>
          <w:szCs w:val="20"/>
        </w:rPr>
      </w:pPr>
      <w:r w:rsidRPr="006A5D2C">
        <w:rPr>
          <w:rStyle w:val="Refdenotaalpie"/>
          <w:rFonts w:eastAsiaTheme="majorEastAsia"/>
          <w:sz w:val="20"/>
          <w:szCs w:val="20"/>
        </w:rPr>
        <w:footnoteRef/>
      </w:r>
      <w:r w:rsidRPr="006A5D2C">
        <w:rPr>
          <w:sz w:val="20"/>
          <w:szCs w:val="20"/>
        </w:rPr>
        <w:t xml:space="preserve"> Consultable en </w:t>
      </w:r>
      <w:r w:rsidRPr="006A5D2C">
        <w:rPr>
          <w:color w:val="000000"/>
          <w:sz w:val="20"/>
          <w:szCs w:val="20"/>
        </w:rPr>
        <w:t>Justicia Electoral. Revista del Tribunal Electoral del Poder Judicial de la Federación, Suplemento 2, Año 1998, páginas 19 y 20.</w:t>
      </w:r>
    </w:p>
  </w:footnote>
  <w:footnote w:id="21">
    <w:p w14:paraId="646A32BB" w14:textId="77777777" w:rsidR="00F75D44" w:rsidRPr="006A5D2C" w:rsidRDefault="00F75D44" w:rsidP="00D172BD">
      <w:pPr>
        <w:spacing w:before="0" w:after="0" w:line="240" w:lineRule="auto"/>
        <w:rPr>
          <w:sz w:val="20"/>
          <w:szCs w:val="20"/>
        </w:rPr>
      </w:pPr>
      <w:r w:rsidRPr="006A5D2C">
        <w:rPr>
          <w:rStyle w:val="Refdenotaalpie"/>
          <w:rFonts w:eastAsiaTheme="majorEastAsia"/>
          <w:sz w:val="20"/>
          <w:szCs w:val="20"/>
        </w:rPr>
        <w:footnoteRef/>
      </w:r>
      <w:r w:rsidRPr="006A5D2C">
        <w:rPr>
          <w:sz w:val="20"/>
          <w:szCs w:val="20"/>
        </w:rPr>
        <w:t xml:space="preserve"> Consultable en Justicia Electoral. Revista del Tribunal Electoral del Poder Judicial de la Federación, Suplemento 6, Año 2003, página 45.</w:t>
      </w:r>
    </w:p>
  </w:footnote>
  <w:footnote w:id="22">
    <w:p w14:paraId="565E757A" w14:textId="77777777" w:rsidR="00F75D44" w:rsidRPr="006A5D2C" w:rsidRDefault="00F75D44" w:rsidP="00D172BD">
      <w:pPr>
        <w:spacing w:before="0" w:after="0" w:line="240" w:lineRule="auto"/>
        <w:rPr>
          <w:sz w:val="20"/>
          <w:szCs w:val="20"/>
        </w:rPr>
      </w:pPr>
      <w:r w:rsidRPr="006A5D2C">
        <w:rPr>
          <w:rStyle w:val="Refdenotaalpie"/>
          <w:rFonts w:eastAsiaTheme="majorEastAsia"/>
          <w:sz w:val="20"/>
          <w:szCs w:val="20"/>
        </w:rPr>
        <w:footnoteRef/>
      </w:r>
      <w:r w:rsidRPr="006A5D2C">
        <w:rPr>
          <w:sz w:val="20"/>
          <w:szCs w:val="20"/>
        </w:rPr>
        <w:t xml:space="preserve"> Consultable en Jurisprudencia y Tesis Relevantes 1997-2005. Compilación Oficial, Tribunal Electoral del Poder Judicial de la Federación, páginas 725 y 726.</w:t>
      </w:r>
    </w:p>
  </w:footnote>
  <w:footnote w:id="23">
    <w:p w14:paraId="05F28851" w14:textId="01B3D135" w:rsidR="00335D2F" w:rsidRPr="006A5D2C" w:rsidRDefault="00335D2F" w:rsidP="00D172BD">
      <w:pPr>
        <w:pStyle w:val="Textonotapie"/>
        <w:rPr>
          <w:sz w:val="20"/>
          <w:szCs w:val="20"/>
        </w:rPr>
      </w:pPr>
      <w:r w:rsidRPr="006A5D2C">
        <w:rPr>
          <w:rStyle w:val="Refdenotaalpie"/>
          <w:sz w:val="20"/>
          <w:szCs w:val="20"/>
        </w:rPr>
        <w:footnoteRef/>
      </w:r>
      <w:r w:rsidRPr="006A5D2C">
        <w:rPr>
          <w:sz w:val="20"/>
          <w:szCs w:val="20"/>
        </w:rPr>
        <w:t xml:space="preserve"> En similares términos se pronunció esta Sala en la sentencia SX-JDC-13</w:t>
      </w:r>
      <w:r w:rsidR="008E46FF" w:rsidRPr="006A5D2C">
        <w:rPr>
          <w:sz w:val="20"/>
          <w:szCs w:val="20"/>
        </w:rPr>
        <w:t>62/2021.</w:t>
      </w:r>
    </w:p>
  </w:footnote>
  <w:footnote w:id="24">
    <w:p w14:paraId="2B521B3B" w14:textId="77777777" w:rsidR="00A95DA0" w:rsidRPr="006A5D2C" w:rsidRDefault="00A95DA0" w:rsidP="00A95DA0">
      <w:pPr>
        <w:pStyle w:val="Textonotapie"/>
        <w:rPr>
          <w:sz w:val="20"/>
          <w:szCs w:val="20"/>
        </w:rPr>
      </w:pPr>
      <w:r w:rsidRPr="006A5D2C">
        <w:rPr>
          <w:rStyle w:val="Refdenotaalpie"/>
          <w:sz w:val="20"/>
          <w:szCs w:val="20"/>
        </w:rPr>
        <w:footnoteRef/>
      </w:r>
      <w:r w:rsidRPr="006A5D2C">
        <w:rPr>
          <w:sz w:val="20"/>
          <w:szCs w:val="20"/>
        </w:rPr>
        <w:t xml:space="preserve"> Visible a foja 13 del cuaderno accesorio único del expediente.</w:t>
      </w:r>
    </w:p>
  </w:footnote>
  <w:footnote w:id="25">
    <w:p w14:paraId="32578028" w14:textId="1ECA7745" w:rsidR="007D5D14" w:rsidRPr="006A5D2C" w:rsidRDefault="007D5D14" w:rsidP="00D172BD">
      <w:pPr>
        <w:pStyle w:val="Textonotapie"/>
        <w:rPr>
          <w:sz w:val="20"/>
          <w:szCs w:val="20"/>
        </w:rPr>
      </w:pPr>
      <w:r w:rsidRPr="006A5D2C">
        <w:rPr>
          <w:rStyle w:val="Refdenotaalpie"/>
          <w:sz w:val="20"/>
          <w:szCs w:val="20"/>
        </w:rPr>
        <w:footnoteRef/>
      </w:r>
      <w:r w:rsidRPr="006A5D2C">
        <w:rPr>
          <w:sz w:val="20"/>
          <w:szCs w:val="20"/>
        </w:rPr>
        <w:t xml:space="preserve"> Al obtener trescientos dieciocho votos </w:t>
      </w:r>
      <w:r w:rsidR="00225AFE" w:rsidRPr="006A5D2C">
        <w:rPr>
          <w:sz w:val="20"/>
          <w:szCs w:val="20"/>
        </w:rPr>
        <w:t xml:space="preserve">cada candidatura </w:t>
      </w:r>
      <w:r w:rsidR="00B56CE2" w:rsidRPr="006A5D2C">
        <w:rPr>
          <w:sz w:val="20"/>
          <w:szCs w:val="20"/>
        </w:rPr>
        <w:t>en los escrutinios y cómputos realizados por la mesa receptora y por el Consejo Electoral, respectivamente</w:t>
      </w:r>
      <w:r w:rsidR="00225AFE" w:rsidRPr="006A5D2C">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C64C" w14:textId="1B31D400" w:rsidR="00A92DE1" w:rsidRDefault="00870003" w:rsidP="009F087A">
    <w:pPr>
      <w:pStyle w:val="Encabezado"/>
      <w:spacing w:before="720" w:after="720"/>
      <w:jc w:val="left"/>
    </w:pPr>
    <w:r w:rsidRPr="007B3827">
      <w:rPr>
        <w:rFonts w:ascii="Univers" w:hAnsi="Univers"/>
      </w:rPr>
      <w:t>SX-JDC-</w:t>
    </w:r>
    <w:r w:rsidR="006A23D2">
      <w:rPr>
        <w:rFonts w:ascii="Univers" w:hAnsi="Univers"/>
      </w:rPr>
      <w:t>2</w:t>
    </w:r>
    <w:r w:rsidR="001F12A7">
      <w:rPr>
        <w:rFonts w:ascii="Univers" w:hAnsi="Univers"/>
      </w:rPr>
      <w:t>38</w:t>
    </w:r>
    <w:r w:rsidRPr="007B3827">
      <w:rPr>
        <w:rFonts w:ascii="Univers" w:hAnsi="Univers"/>
      </w:rPr>
      <w:t>/202</w:t>
    </w:r>
    <w:r w:rsidR="006A23D2">
      <w:rPr>
        <w:rFonts w:ascii="Univers" w:hAnsi="Univer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0FFF" w14:textId="538FAF3B" w:rsidR="00A92DE1" w:rsidRDefault="00870003" w:rsidP="00B5005B">
    <w:pPr>
      <w:pStyle w:val="Encabezado"/>
      <w:spacing w:before="720" w:after="720"/>
      <w:rPr>
        <w:rFonts w:ascii="Univers" w:hAnsi="Univers"/>
      </w:rPr>
    </w:pPr>
    <w:r>
      <w:rPr>
        <w:rFonts w:cs="Arial"/>
        <w:b w:val="0"/>
        <w:noProof/>
        <w:sz w:val="16"/>
        <w:szCs w:val="18"/>
      </w:rPr>
      <w:drawing>
        <wp:anchor distT="0" distB="0" distL="114300" distR="114300" simplePos="0" relativeHeight="251660288" behindDoc="1" locked="0" layoutInCell="1" allowOverlap="1" wp14:anchorId="34C8B292" wp14:editId="53350F4A">
          <wp:simplePos x="0" y="0"/>
          <wp:positionH relativeFrom="leftMargin">
            <wp:posOffset>250411</wp:posOffset>
          </wp:positionH>
          <wp:positionV relativeFrom="paragraph">
            <wp:posOffset>-331332</wp:posOffset>
          </wp:positionV>
          <wp:extent cx="1314966" cy="1523813"/>
          <wp:effectExtent l="0" t="0" r="0" b="0"/>
          <wp:wrapNone/>
          <wp:docPr id="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14966" cy="1523813"/>
                  </a:xfrm>
                  <a:prstGeom prst="rect">
                    <a:avLst/>
                  </a:prstGeom>
                </pic:spPr>
              </pic:pic>
            </a:graphicData>
          </a:graphic>
          <wp14:sizeRelH relativeFrom="page">
            <wp14:pctWidth>0</wp14:pctWidth>
          </wp14:sizeRelH>
          <wp14:sizeRelV relativeFrom="page">
            <wp14:pctHeight>0</wp14:pctHeight>
          </wp14:sizeRelV>
        </wp:anchor>
      </w:drawing>
    </w:r>
    <w:r w:rsidRPr="007B3827">
      <w:rPr>
        <w:rFonts w:ascii="Univers" w:hAnsi="Univers"/>
      </w:rPr>
      <w:t>SX-JDC-</w:t>
    </w:r>
    <w:r w:rsidR="006A23D2">
      <w:rPr>
        <w:rFonts w:ascii="Univers" w:hAnsi="Univers"/>
      </w:rPr>
      <w:t>2</w:t>
    </w:r>
    <w:r w:rsidR="007C5B16">
      <w:rPr>
        <w:rFonts w:ascii="Univers" w:hAnsi="Univers"/>
      </w:rPr>
      <w:t>38</w:t>
    </w:r>
    <w:r w:rsidRPr="007B3827">
      <w:rPr>
        <w:rFonts w:ascii="Univers" w:hAnsi="Univers"/>
      </w:rPr>
      <w:t>/202</w:t>
    </w:r>
    <w:r w:rsidR="006A23D2">
      <w:rPr>
        <w:rFonts w:ascii="Univers" w:hAnsi="Univer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D25B" w14:textId="77777777" w:rsidR="00A92DE1" w:rsidRPr="00157B77" w:rsidRDefault="00870003" w:rsidP="007B3827">
    <w:pPr>
      <w:spacing w:before="0" w:after="0" w:line="240" w:lineRule="auto"/>
      <w:ind w:left="284" w:right="-374"/>
      <w:jc w:val="center"/>
      <w:rPr>
        <w:rFonts w:cs="Arial"/>
        <w:b/>
        <w:sz w:val="18"/>
        <w:szCs w:val="20"/>
      </w:rPr>
    </w:pPr>
    <w:r>
      <w:rPr>
        <w:rFonts w:cs="Arial"/>
        <w:b/>
        <w:noProof/>
        <w:sz w:val="16"/>
        <w:szCs w:val="18"/>
      </w:rPr>
      <w:drawing>
        <wp:anchor distT="0" distB="0" distL="114300" distR="114300" simplePos="0" relativeHeight="251659264" behindDoc="0" locked="0" layoutInCell="1" allowOverlap="1" wp14:anchorId="0A181565" wp14:editId="2C9F8BE2">
          <wp:simplePos x="0" y="0"/>
          <wp:positionH relativeFrom="leftMargin">
            <wp:align>right</wp:align>
          </wp:positionH>
          <wp:positionV relativeFrom="paragraph">
            <wp:posOffset>-761918</wp:posOffset>
          </wp:positionV>
          <wp:extent cx="1500505" cy="1738630"/>
          <wp:effectExtent l="0" t="0" r="0" b="0"/>
          <wp:wrapSquare wrapText="bothSides"/>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00505" cy="1738630"/>
                  </a:xfrm>
                  <a:prstGeom prst="rect">
                    <a:avLst/>
                  </a:prstGeom>
                </pic:spPr>
              </pic:pic>
            </a:graphicData>
          </a:graphic>
          <wp14:sizeRelH relativeFrom="page">
            <wp14:pctWidth>0</wp14:pctWidth>
          </wp14:sizeRelH>
          <wp14:sizeRelV relativeFrom="page">
            <wp14:pctHeight>0</wp14:pctHeight>
          </wp14:sizeRelV>
        </wp:anchor>
      </w:drawing>
    </w:r>
    <w:r>
      <w:rPr>
        <w:rFonts w:cs="Arial"/>
        <w:b/>
        <w:sz w:val="18"/>
        <w:szCs w:val="20"/>
      </w:rPr>
      <w:t>S</w:t>
    </w:r>
    <w:r w:rsidRPr="00157B77">
      <w:rPr>
        <w:rFonts w:cs="Arial"/>
        <w:b/>
        <w:sz w:val="18"/>
        <w:szCs w:val="20"/>
      </w:rPr>
      <w:t>ALA REGIONAL DEL TRIBUNAL ELECTORAL DEL PODER JUDICIAL DE LA FEDERACIÓN, TERCERA CIRCUNSCRIPCIÓN PLURINOMINAL ELECTORAL FEDERAL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967EE"/>
    <w:multiLevelType w:val="hybridMultilevel"/>
    <w:tmpl w:val="73B6A436"/>
    <w:lvl w:ilvl="0" w:tplc="EF46EE16">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2891385"/>
    <w:multiLevelType w:val="hybridMultilevel"/>
    <w:tmpl w:val="27401EE4"/>
    <w:lvl w:ilvl="0" w:tplc="EECA8134">
      <w:start w:val="1"/>
      <w:numFmt w:val="decimal"/>
      <w:pStyle w:val="NSentencia"/>
      <w:lvlText w:val="%1."/>
      <w:lvlJc w:val="left"/>
      <w:pPr>
        <w:ind w:left="0" w:firstLine="0"/>
      </w:pPr>
      <w:rPr>
        <w:rFonts w:ascii="Univers" w:hAnsi="Univers" w:hint="default"/>
        <w:b/>
        <w:bCs/>
        <w:color w:val="auto"/>
        <w:sz w:val="24"/>
        <w:szCs w:val="24"/>
      </w:rPr>
    </w:lvl>
    <w:lvl w:ilvl="1" w:tplc="5DA26DA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791EB4"/>
    <w:multiLevelType w:val="hybridMultilevel"/>
    <w:tmpl w:val="1C065FC2"/>
    <w:lvl w:ilvl="0" w:tplc="FBEE8542">
      <w:start w:val="1"/>
      <w:numFmt w:val="upperLetter"/>
      <w:lvlText w:val="%1."/>
      <w:lvlJc w:val="left"/>
      <w:pPr>
        <w:ind w:left="1353" w:hanging="360"/>
      </w:pPr>
      <w:rPr>
        <w:rFonts w:hint="default"/>
        <w:b/>
        <w:bCs/>
      </w:rPr>
    </w:lvl>
    <w:lvl w:ilvl="1" w:tplc="580A0019" w:tentative="1">
      <w:start w:val="1"/>
      <w:numFmt w:val="lowerLetter"/>
      <w:lvlText w:val="%2."/>
      <w:lvlJc w:val="left"/>
      <w:pPr>
        <w:ind w:left="2073" w:hanging="360"/>
      </w:pPr>
    </w:lvl>
    <w:lvl w:ilvl="2" w:tplc="580A001B" w:tentative="1">
      <w:start w:val="1"/>
      <w:numFmt w:val="lowerRoman"/>
      <w:lvlText w:val="%3."/>
      <w:lvlJc w:val="right"/>
      <w:pPr>
        <w:ind w:left="2793" w:hanging="180"/>
      </w:pPr>
    </w:lvl>
    <w:lvl w:ilvl="3" w:tplc="580A000F" w:tentative="1">
      <w:start w:val="1"/>
      <w:numFmt w:val="decimal"/>
      <w:lvlText w:val="%4."/>
      <w:lvlJc w:val="left"/>
      <w:pPr>
        <w:ind w:left="3513" w:hanging="360"/>
      </w:pPr>
    </w:lvl>
    <w:lvl w:ilvl="4" w:tplc="580A0019" w:tentative="1">
      <w:start w:val="1"/>
      <w:numFmt w:val="lowerLetter"/>
      <w:lvlText w:val="%5."/>
      <w:lvlJc w:val="left"/>
      <w:pPr>
        <w:ind w:left="4233" w:hanging="360"/>
      </w:pPr>
    </w:lvl>
    <w:lvl w:ilvl="5" w:tplc="580A001B" w:tentative="1">
      <w:start w:val="1"/>
      <w:numFmt w:val="lowerRoman"/>
      <w:lvlText w:val="%6."/>
      <w:lvlJc w:val="right"/>
      <w:pPr>
        <w:ind w:left="4953" w:hanging="180"/>
      </w:pPr>
    </w:lvl>
    <w:lvl w:ilvl="6" w:tplc="580A000F" w:tentative="1">
      <w:start w:val="1"/>
      <w:numFmt w:val="decimal"/>
      <w:lvlText w:val="%7."/>
      <w:lvlJc w:val="left"/>
      <w:pPr>
        <w:ind w:left="5673" w:hanging="360"/>
      </w:pPr>
    </w:lvl>
    <w:lvl w:ilvl="7" w:tplc="580A0019" w:tentative="1">
      <w:start w:val="1"/>
      <w:numFmt w:val="lowerLetter"/>
      <w:lvlText w:val="%8."/>
      <w:lvlJc w:val="left"/>
      <w:pPr>
        <w:ind w:left="6393" w:hanging="360"/>
      </w:pPr>
    </w:lvl>
    <w:lvl w:ilvl="8" w:tplc="580A001B" w:tentative="1">
      <w:start w:val="1"/>
      <w:numFmt w:val="lowerRoman"/>
      <w:lvlText w:val="%9."/>
      <w:lvlJc w:val="right"/>
      <w:pPr>
        <w:ind w:left="7113" w:hanging="180"/>
      </w:pPr>
    </w:lvl>
  </w:abstractNum>
  <w:abstractNum w:abstractNumId="3" w15:restartNumberingAfterBreak="0">
    <w:nsid w:val="5D9B4340"/>
    <w:multiLevelType w:val="hybridMultilevel"/>
    <w:tmpl w:val="7F0679FA"/>
    <w:lvl w:ilvl="0" w:tplc="D8F00310">
      <w:start w:val="1"/>
      <w:numFmt w:val="decimal"/>
      <w:pStyle w:val="NormalNmerado"/>
      <w:lvlText w:val="%1."/>
      <w:lvlJc w:val="left"/>
      <w:pPr>
        <w:ind w:left="6314" w:hanging="360"/>
      </w:pPr>
      <w:rPr>
        <w:b/>
        <w:sz w:val="24"/>
        <w:szCs w:val="24"/>
        <w:vertAlign w:val="baseline"/>
      </w:rPr>
    </w:lvl>
    <w:lvl w:ilvl="1" w:tplc="B59215CA">
      <w:start w:val="1"/>
      <w:numFmt w:val="lowerLetter"/>
      <w:lvlText w:val="%2)"/>
      <w:lvlJc w:val="left"/>
      <w:pPr>
        <w:ind w:left="567" w:hanging="283"/>
      </w:pPr>
      <w:rPr>
        <w:rFonts w:hint="default"/>
        <w:b/>
      </w:rPr>
    </w:lvl>
    <w:lvl w:ilvl="2" w:tplc="6CD83CC8">
      <w:start w:val="1"/>
      <w:numFmt w:val="lowerRoman"/>
      <w:lvlText w:val="%3."/>
      <w:lvlJc w:val="right"/>
      <w:pPr>
        <w:ind w:left="1134" w:hanging="283"/>
      </w:pPr>
      <w:rPr>
        <w:rFonts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5FAF7808"/>
    <w:multiLevelType w:val="hybridMultilevel"/>
    <w:tmpl w:val="0BB69A4E"/>
    <w:lvl w:ilvl="0" w:tplc="82B6F3C2">
      <w:numFmt w:val="bullet"/>
      <w:lvlText w:val="-"/>
      <w:lvlJc w:val="left"/>
      <w:pPr>
        <w:ind w:left="720" w:hanging="360"/>
      </w:pPr>
      <w:rPr>
        <w:rFonts w:ascii="Univers" w:eastAsia="Times New Roman" w:hAnsi="Univers"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68555B62"/>
    <w:multiLevelType w:val="hybridMultilevel"/>
    <w:tmpl w:val="065A0DCE"/>
    <w:lvl w:ilvl="0" w:tplc="0358A5F4">
      <w:start w:val="1"/>
      <w:numFmt w:val="decimal"/>
      <w:pStyle w:val="numerado"/>
      <w:lvlText w:val="%1."/>
      <w:lvlJc w:val="left"/>
      <w:pPr>
        <w:ind w:left="4330" w:hanging="360"/>
      </w:pPr>
      <w:rPr>
        <w:b/>
      </w:rPr>
    </w:lvl>
    <w:lvl w:ilvl="1" w:tplc="080A0001">
      <w:start w:val="1"/>
      <w:numFmt w:val="bullet"/>
      <w:lvlText w:val=""/>
      <w:lvlJc w:val="left"/>
      <w:pPr>
        <w:ind w:left="2007" w:hanging="360"/>
      </w:pPr>
      <w:rPr>
        <w:rFonts w:ascii="Symbol" w:hAnsi="Symbol" w:hint="default"/>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74EA0489"/>
    <w:multiLevelType w:val="hybridMultilevel"/>
    <w:tmpl w:val="CC2EB97C"/>
    <w:lvl w:ilvl="0" w:tplc="628E399A">
      <w:start w:val="1"/>
      <w:numFmt w:val="decimal"/>
      <w:pStyle w:val="numerados"/>
      <w:lvlText w:val="%1."/>
      <w:lvlJc w:val="left"/>
      <w:pPr>
        <w:ind w:left="3763" w:hanging="360"/>
      </w:pPr>
      <w:rPr>
        <w:rFonts w:ascii="Univers" w:hAnsi="Univers" w:hint="default"/>
        <w:b/>
        <w:bCs w:val="0"/>
        <w:sz w:val="24"/>
        <w:szCs w:val="24"/>
      </w:rPr>
    </w:lvl>
    <w:lvl w:ilvl="1" w:tplc="E51E34C0">
      <w:start w:val="1"/>
      <w:numFmt w:val="lowerRoman"/>
      <w:lvlText w:val="%2."/>
      <w:lvlJc w:val="left"/>
      <w:pPr>
        <w:ind w:left="1800" w:hanging="72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A3C1DEE"/>
    <w:multiLevelType w:val="hybridMultilevel"/>
    <w:tmpl w:val="6E10B952"/>
    <w:lvl w:ilvl="0" w:tplc="E1EA5BF6">
      <w:start w:val="1"/>
      <w:numFmt w:val="decimal"/>
      <w:pStyle w:val="NUMERADO0"/>
      <w:lvlText w:val="%1."/>
      <w:lvlJc w:val="left"/>
      <w:pPr>
        <w:ind w:left="5038" w:hanging="360"/>
      </w:pPr>
      <w:rPr>
        <w:rFonts w:ascii="Univers" w:hAnsi="Univers" w:hint="default"/>
        <w:b/>
        <w:color w:val="auto"/>
        <w:sz w:val="28"/>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3528051">
    <w:abstractNumId w:val="7"/>
  </w:num>
  <w:num w:numId="2" w16cid:durableId="517811094">
    <w:abstractNumId w:val="6"/>
  </w:num>
  <w:num w:numId="3" w16cid:durableId="1770856351">
    <w:abstractNumId w:val="4"/>
  </w:num>
  <w:num w:numId="4" w16cid:durableId="1490974557">
    <w:abstractNumId w:val="1"/>
  </w:num>
  <w:num w:numId="5" w16cid:durableId="1848128847">
    <w:abstractNumId w:val="5"/>
  </w:num>
  <w:num w:numId="6" w16cid:durableId="2087073271">
    <w:abstractNumId w:val="3"/>
  </w:num>
  <w:num w:numId="7" w16cid:durableId="278951126">
    <w:abstractNumId w:val="0"/>
  </w:num>
  <w:num w:numId="8" w16cid:durableId="1105033426">
    <w:abstractNumId w:val="2"/>
  </w:num>
  <w:num w:numId="9" w16cid:durableId="928074634">
    <w:abstractNumId w:val="6"/>
  </w:num>
  <w:num w:numId="10" w16cid:durableId="265042863">
    <w:abstractNumId w:val="6"/>
  </w:num>
  <w:num w:numId="11" w16cid:durableId="1302419431">
    <w:abstractNumId w:val="6"/>
  </w:num>
  <w:num w:numId="12" w16cid:durableId="77871901">
    <w:abstractNumId w:val="6"/>
  </w:num>
  <w:num w:numId="13" w16cid:durableId="1642926954">
    <w:abstractNumId w:val="6"/>
  </w:num>
  <w:num w:numId="14" w16cid:durableId="1183126716">
    <w:abstractNumId w:val="6"/>
  </w:num>
  <w:num w:numId="15" w16cid:durableId="1557429719">
    <w:abstractNumId w:val="6"/>
  </w:num>
  <w:num w:numId="16" w16cid:durableId="1087504757">
    <w:abstractNumId w:val="6"/>
  </w:num>
  <w:num w:numId="17" w16cid:durableId="478571915">
    <w:abstractNumId w:val="6"/>
  </w:num>
  <w:num w:numId="18" w16cid:durableId="1273052506">
    <w:abstractNumId w:val="6"/>
  </w:num>
  <w:num w:numId="19" w16cid:durableId="759831318">
    <w:abstractNumId w:val="6"/>
  </w:num>
  <w:num w:numId="20" w16cid:durableId="714231648">
    <w:abstractNumId w:val="6"/>
  </w:num>
  <w:num w:numId="21" w16cid:durableId="682903001">
    <w:abstractNumId w:val="6"/>
  </w:num>
  <w:num w:numId="22" w16cid:durableId="1435511811">
    <w:abstractNumId w:val="6"/>
  </w:num>
  <w:num w:numId="23" w16cid:durableId="303390149">
    <w:abstractNumId w:val="6"/>
  </w:num>
  <w:num w:numId="24" w16cid:durableId="1193689676">
    <w:abstractNumId w:val="6"/>
  </w:num>
  <w:num w:numId="25" w16cid:durableId="1158575132">
    <w:abstractNumId w:val="6"/>
  </w:num>
  <w:num w:numId="26" w16cid:durableId="1674722616">
    <w:abstractNumId w:val="6"/>
  </w:num>
  <w:num w:numId="27" w16cid:durableId="2118865706">
    <w:abstractNumId w:val="6"/>
  </w:num>
  <w:num w:numId="28" w16cid:durableId="1568221969">
    <w:abstractNumId w:val="6"/>
  </w:num>
  <w:num w:numId="29" w16cid:durableId="1065564434">
    <w:abstractNumId w:val="6"/>
  </w:num>
  <w:num w:numId="30" w16cid:durableId="56526700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C9"/>
    <w:rsid w:val="000035B3"/>
    <w:rsid w:val="000056E1"/>
    <w:rsid w:val="00005ADB"/>
    <w:rsid w:val="00006574"/>
    <w:rsid w:val="000107D7"/>
    <w:rsid w:val="000119ED"/>
    <w:rsid w:val="00013909"/>
    <w:rsid w:val="00014562"/>
    <w:rsid w:val="00017829"/>
    <w:rsid w:val="000209C7"/>
    <w:rsid w:val="00020D01"/>
    <w:rsid w:val="00024B20"/>
    <w:rsid w:val="00026DF4"/>
    <w:rsid w:val="00030D91"/>
    <w:rsid w:val="00031191"/>
    <w:rsid w:val="00032FA7"/>
    <w:rsid w:val="00036017"/>
    <w:rsid w:val="00036BC1"/>
    <w:rsid w:val="000401BF"/>
    <w:rsid w:val="00040539"/>
    <w:rsid w:val="00044015"/>
    <w:rsid w:val="00044B9D"/>
    <w:rsid w:val="0004561C"/>
    <w:rsid w:val="00046230"/>
    <w:rsid w:val="00053CE9"/>
    <w:rsid w:val="00060CEA"/>
    <w:rsid w:val="00061AC9"/>
    <w:rsid w:val="000626C6"/>
    <w:rsid w:val="000631BA"/>
    <w:rsid w:val="00065B60"/>
    <w:rsid w:val="00067BCF"/>
    <w:rsid w:val="000702C5"/>
    <w:rsid w:val="00071EC2"/>
    <w:rsid w:val="000768C1"/>
    <w:rsid w:val="0008235E"/>
    <w:rsid w:val="0008304A"/>
    <w:rsid w:val="000925AD"/>
    <w:rsid w:val="000934EA"/>
    <w:rsid w:val="00094236"/>
    <w:rsid w:val="0009441A"/>
    <w:rsid w:val="00094457"/>
    <w:rsid w:val="000B2727"/>
    <w:rsid w:val="000D0DC5"/>
    <w:rsid w:val="000E0B7A"/>
    <w:rsid w:val="000E1C84"/>
    <w:rsid w:val="000E24A9"/>
    <w:rsid w:val="000E2AD8"/>
    <w:rsid w:val="000E37BE"/>
    <w:rsid w:val="000E638F"/>
    <w:rsid w:val="000E78AB"/>
    <w:rsid w:val="000E7D74"/>
    <w:rsid w:val="000F0706"/>
    <w:rsid w:val="000F69D9"/>
    <w:rsid w:val="00103731"/>
    <w:rsid w:val="001037C4"/>
    <w:rsid w:val="001045CA"/>
    <w:rsid w:val="0010479A"/>
    <w:rsid w:val="00106F73"/>
    <w:rsid w:val="00110E89"/>
    <w:rsid w:val="001151DE"/>
    <w:rsid w:val="001159AC"/>
    <w:rsid w:val="00116237"/>
    <w:rsid w:val="001207FC"/>
    <w:rsid w:val="00120E3E"/>
    <w:rsid w:val="0012268D"/>
    <w:rsid w:val="0012592B"/>
    <w:rsid w:val="00127C6F"/>
    <w:rsid w:val="0013433B"/>
    <w:rsid w:val="001356F3"/>
    <w:rsid w:val="00136CA7"/>
    <w:rsid w:val="0014167B"/>
    <w:rsid w:val="001422D6"/>
    <w:rsid w:val="001434C5"/>
    <w:rsid w:val="001437D7"/>
    <w:rsid w:val="00146680"/>
    <w:rsid w:val="00147B49"/>
    <w:rsid w:val="001565FC"/>
    <w:rsid w:val="001579CB"/>
    <w:rsid w:val="001610D4"/>
    <w:rsid w:val="00163222"/>
    <w:rsid w:val="0016399C"/>
    <w:rsid w:val="00163B22"/>
    <w:rsid w:val="00166A80"/>
    <w:rsid w:val="00167645"/>
    <w:rsid w:val="0017118F"/>
    <w:rsid w:val="001737F6"/>
    <w:rsid w:val="00174306"/>
    <w:rsid w:val="00177866"/>
    <w:rsid w:val="00181035"/>
    <w:rsid w:val="00184EEC"/>
    <w:rsid w:val="00185064"/>
    <w:rsid w:val="001867C1"/>
    <w:rsid w:val="00187EFA"/>
    <w:rsid w:val="00195137"/>
    <w:rsid w:val="00196A01"/>
    <w:rsid w:val="001A02C6"/>
    <w:rsid w:val="001A538B"/>
    <w:rsid w:val="001A5E70"/>
    <w:rsid w:val="001B3417"/>
    <w:rsid w:val="001B3F57"/>
    <w:rsid w:val="001B69A1"/>
    <w:rsid w:val="001C0773"/>
    <w:rsid w:val="001D38BB"/>
    <w:rsid w:val="001E0668"/>
    <w:rsid w:val="001E124E"/>
    <w:rsid w:val="001E2EFA"/>
    <w:rsid w:val="001E77D9"/>
    <w:rsid w:val="001F12A7"/>
    <w:rsid w:val="001F34F1"/>
    <w:rsid w:val="001F3A4C"/>
    <w:rsid w:val="001F5043"/>
    <w:rsid w:val="00200108"/>
    <w:rsid w:val="0020152D"/>
    <w:rsid w:val="00202098"/>
    <w:rsid w:val="00203254"/>
    <w:rsid w:val="0020439F"/>
    <w:rsid w:val="00205CCC"/>
    <w:rsid w:val="00212F21"/>
    <w:rsid w:val="002146DA"/>
    <w:rsid w:val="00225AFE"/>
    <w:rsid w:val="00232266"/>
    <w:rsid w:val="00235FAB"/>
    <w:rsid w:val="00237C4A"/>
    <w:rsid w:val="0024102B"/>
    <w:rsid w:val="00241056"/>
    <w:rsid w:val="00241BC2"/>
    <w:rsid w:val="00243AD0"/>
    <w:rsid w:val="00245430"/>
    <w:rsid w:val="0024630F"/>
    <w:rsid w:val="00254A00"/>
    <w:rsid w:val="002557B9"/>
    <w:rsid w:val="002570EF"/>
    <w:rsid w:val="00263582"/>
    <w:rsid w:val="00265BF1"/>
    <w:rsid w:val="00266A5F"/>
    <w:rsid w:val="00267155"/>
    <w:rsid w:val="002671B0"/>
    <w:rsid w:val="002704F5"/>
    <w:rsid w:val="002705D3"/>
    <w:rsid w:val="0027217E"/>
    <w:rsid w:val="00273562"/>
    <w:rsid w:val="00281FA1"/>
    <w:rsid w:val="002837AD"/>
    <w:rsid w:val="00286044"/>
    <w:rsid w:val="002865EA"/>
    <w:rsid w:val="00287247"/>
    <w:rsid w:val="002902DC"/>
    <w:rsid w:val="00291C6F"/>
    <w:rsid w:val="00294884"/>
    <w:rsid w:val="00296541"/>
    <w:rsid w:val="0029711C"/>
    <w:rsid w:val="002A0246"/>
    <w:rsid w:val="002A02AB"/>
    <w:rsid w:val="002A06D1"/>
    <w:rsid w:val="002A08C8"/>
    <w:rsid w:val="002A2281"/>
    <w:rsid w:val="002A3996"/>
    <w:rsid w:val="002A76DF"/>
    <w:rsid w:val="002A7BD1"/>
    <w:rsid w:val="002B59A4"/>
    <w:rsid w:val="002C16DA"/>
    <w:rsid w:val="002C538E"/>
    <w:rsid w:val="002C5B86"/>
    <w:rsid w:val="002D4FDF"/>
    <w:rsid w:val="002D5019"/>
    <w:rsid w:val="002D57EA"/>
    <w:rsid w:val="002E1E71"/>
    <w:rsid w:val="002E3B59"/>
    <w:rsid w:val="002F52D7"/>
    <w:rsid w:val="002F7DB4"/>
    <w:rsid w:val="00300987"/>
    <w:rsid w:val="00310075"/>
    <w:rsid w:val="003114DC"/>
    <w:rsid w:val="00311DE6"/>
    <w:rsid w:val="00316027"/>
    <w:rsid w:val="00321DD3"/>
    <w:rsid w:val="00323167"/>
    <w:rsid w:val="003270D8"/>
    <w:rsid w:val="003271C9"/>
    <w:rsid w:val="00327368"/>
    <w:rsid w:val="00327904"/>
    <w:rsid w:val="00330EA4"/>
    <w:rsid w:val="00333AED"/>
    <w:rsid w:val="00335B4F"/>
    <w:rsid w:val="00335D2F"/>
    <w:rsid w:val="00337C08"/>
    <w:rsid w:val="003415E8"/>
    <w:rsid w:val="0034428E"/>
    <w:rsid w:val="003518A8"/>
    <w:rsid w:val="00352508"/>
    <w:rsid w:val="00353B21"/>
    <w:rsid w:val="00354CAF"/>
    <w:rsid w:val="0035564D"/>
    <w:rsid w:val="003570ED"/>
    <w:rsid w:val="00357113"/>
    <w:rsid w:val="00357ABE"/>
    <w:rsid w:val="0036139D"/>
    <w:rsid w:val="003613F7"/>
    <w:rsid w:val="00361FEC"/>
    <w:rsid w:val="00363520"/>
    <w:rsid w:val="00363706"/>
    <w:rsid w:val="00364BC0"/>
    <w:rsid w:val="00364D3A"/>
    <w:rsid w:val="003663A3"/>
    <w:rsid w:val="003735FA"/>
    <w:rsid w:val="00375379"/>
    <w:rsid w:val="00376813"/>
    <w:rsid w:val="003768CA"/>
    <w:rsid w:val="00377DB8"/>
    <w:rsid w:val="00377DDF"/>
    <w:rsid w:val="003805DA"/>
    <w:rsid w:val="00382146"/>
    <w:rsid w:val="00382485"/>
    <w:rsid w:val="00383109"/>
    <w:rsid w:val="00385763"/>
    <w:rsid w:val="00394093"/>
    <w:rsid w:val="00396E72"/>
    <w:rsid w:val="003A040A"/>
    <w:rsid w:val="003A4E52"/>
    <w:rsid w:val="003A547F"/>
    <w:rsid w:val="003B29B4"/>
    <w:rsid w:val="003B3BD8"/>
    <w:rsid w:val="003B7ED3"/>
    <w:rsid w:val="003C311B"/>
    <w:rsid w:val="003C5359"/>
    <w:rsid w:val="003C6D7E"/>
    <w:rsid w:val="003C7876"/>
    <w:rsid w:val="003D560B"/>
    <w:rsid w:val="003D5F40"/>
    <w:rsid w:val="003D6BDA"/>
    <w:rsid w:val="003E0325"/>
    <w:rsid w:val="003E0A5E"/>
    <w:rsid w:val="003E365E"/>
    <w:rsid w:val="003E4E38"/>
    <w:rsid w:val="003E79D8"/>
    <w:rsid w:val="003F02CF"/>
    <w:rsid w:val="003F1606"/>
    <w:rsid w:val="003F191B"/>
    <w:rsid w:val="003F1D3A"/>
    <w:rsid w:val="003F2C67"/>
    <w:rsid w:val="003F41C0"/>
    <w:rsid w:val="003F6550"/>
    <w:rsid w:val="003F6933"/>
    <w:rsid w:val="003F6DD1"/>
    <w:rsid w:val="003F7521"/>
    <w:rsid w:val="00401E3A"/>
    <w:rsid w:val="00403F50"/>
    <w:rsid w:val="0040751D"/>
    <w:rsid w:val="00410277"/>
    <w:rsid w:val="0041343D"/>
    <w:rsid w:val="00416D9C"/>
    <w:rsid w:val="0042750E"/>
    <w:rsid w:val="00430D84"/>
    <w:rsid w:val="00432A40"/>
    <w:rsid w:val="00432B7F"/>
    <w:rsid w:val="0043595E"/>
    <w:rsid w:val="00441D11"/>
    <w:rsid w:val="00443EA7"/>
    <w:rsid w:val="00447F88"/>
    <w:rsid w:val="0045059F"/>
    <w:rsid w:val="00450FAC"/>
    <w:rsid w:val="0045217C"/>
    <w:rsid w:val="00456971"/>
    <w:rsid w:val="00457D59"/>
    <w:rsid w:val="0046135F"/>
    <w:rsid w:val="00462490"/>
    <w:rsid w:val="0046481B"/>
    <w:rsid w:val="00465079"/>
    <w:rsid w:val="004705B0"/>
    <w:rsid w:val="0047450D"/>
    <w:rsid w:val="00474EA4"/>
    <w:rsid w:val="00477669"/>
    <w:rsid w:val="00482FFE"/>
    <w:rsid w:val="00484A55"/>
    <w:rsid w:val="00486A12"/>
    <w:rsid w:val="00487694"/>
    <w:rsid w:val="004878D9"/>
    <w:rsid w:val="00490DDF"/>
    <w:rsid w:val="00491956"/>
    <w:rsid w:val="004921B6"/>
    <w:rsid w:val="00493688"/>
    <w:rsid w:val="00496655"/>
    <w:rsid w:val="004976F9"/>
    <w:rsid w:val="004A0538"/>
    <w:rsid w:val="004A202E"/>
    <w:rsid w:val="004A25F0"/>
    <w:rsid w:val="004A2A2B"/>
    <w:rsid w:val="004A39CC"/>
    <w:rsid w:val="004A6279"/>
    <w:rsid w:val="004A7220"/>
    <w:rsid w:val="004A75DA"/>
    <w:rsid w:val="004B362E"/>
    <w:rsid w:val="004B521E"/>
    <w:rsid w:val="004C0216"/>
    <w:rsid w:val="004C3506"/>
    <w:rsid w:val="004C451B"/>
    <w:rsid w:val="004C670E"/>
    <w:rsid w:val="004D0CE3"/>
    <w:rsid w:val="004D4DE9"/>
    <w:rsid w:val="004D50C9"/>
    <w:rsid w:val="004D77DE"/>
    <w:rsid w:val="004E19B2"/>
    <w:rsid w:val="004E328B"/>
    <w:rsid w:val="004E34BF"/>
    <w:rsid w:val="004E60F7"/>
    <w:rsid w:val="004E696F"/>
    <w:rsid w:val="004E6B13"/>
    <w:rsid w:val="004F3481"/>
    <w:rsid w:val="004F3A56"/>
    <w:rsid w:val="004F5B0C"/>
    <w:rsid w:val="004F637A"/>
    <w:rsid w:val="004F6A0E"/>
    <w:rsid w:val="004F6E96"/>
    <w:rsid w:val="00510275"/>
    <w:rsid w:val="00516830"/>
    <w:rsid w:val="00524E25"/>
    <w:rsid w:val="00530F7B"/>
    <w:rsid w:val="005318D8"/>
    <w:rsid w:val="00537609"/>
    <w:rsid w:val="0054051C"/>
    <w:rsid w:val="0054106C"/>
    <w:rsid w:val="0054168D"/>
    <w:rsid w:val="005429F6"/>
    <w:rsid w:val="00543489"/>
    <w:rsid w:val="00543894"/>
    <w:rsid w:val="005446EC"/>
    <w:rsid w:val="00544E61"/>
    <w:rsid w:val="0054589C"/>
    <w:rsid w:val="005471CD"/>
    <w:rsid w:val="005502E0"/>
    <w:rsid w:val="005542BB"/>
    <w:rsid w:val="005543E9"/>
    <w:rsid w:val="00554BF4"/>
    <w:rsid w:val="00556172"/>
    <w:rsid w:val="00556E83"/>
    <w:rsid w:val="00560030"/>
    <w:rsid w:val="00564C31"/>
    <w:rsid w:val="00567F06"/>
    <w:rsid w:val="005706EB"/>
    <w:rsid w:val="00573456"/>
    <w:rsid w:val="00573557"/>
    <w:rsid w:val="00576A98"/>
    <w:rsid w:val="00577938"/>
    <w:rsid w:val="00580752"/>
    <w:rsid w:val="005829D3"/>
    <w:rsid w:val="005831A2"/>
    <w:rsid w:val="005840CF"/>
    <w:rsid w:val="0058476B"/>
    <w:rsid w:val="00585463"/>
    <w:rsid w:val="00592966"/>
    <w:rsid w:val="00593F5C"/>
    <w:rsid w:val="00594C42"/>
    <w:rsid w:val="00595439"/>
    <w:rsid w:val="005A0EB5"/>
    <w:rsid w:val="005A12A4"/>
    <w:rsid w:val="005A14DD"/>
    <w:rsid w:val="005A278F"/>
    <w:rsid w:val="005A62A6"/>
    <w:rsid w:val="005A67B3"/>
    <w:rsid w:val="005B269C"/>
    <w:rsid w:val="005B3012"/>
    <w:rsid w:val="005B45D2"/>
    <w:rsid w:val="005B529D"/>
    <w:rsid w:val="005B545E"/>
    <w:rsid w:val="005B723F"/>
    <w:rsid w:val="005C1AA5"/>
    <w:rsid w:val="005C3F7E"/>
    <w:rsid w:val="005C6F8D"/>
    <w:rsid w:val="005C7821"/>
    <w:rsid w:val="005D017A"/>
    <w:rsid w:val="005D282C"/>
    <w:rsid w:val="005D594F"/>
    <w:rsid w:val="005D5C81"/>
    <w:rsid w:val="005D7354"/>
    <w:rsid w:val="005D75F4"/>
    <w:rsid w:val="005D7D40"/>
    <w:rsid w:val="005E3083"/>
    <w:rsid w:val="005E367D"/>
    <w:rsid w:val="005E36A6"/>
    <w:rsid w:val="005E4B35"/>
    <w:rsid w:val="005E689C"/>
    <w:rsid w:val="005F1991"/>
    <w:rsid w:val="005F1EE5"/>
    <w:rsid w:val="005F3DBB"/>
    <w:rsid w:val="005F7926"/>
    <w:rsid w:val="005F7CA6"/>
    <w:rsid w:val="00601C4B"/>
    <w:rsid w:val="006022DC"/>
    <w:rsid w:val="00610D1F"/>
    <w:rsid w:val="00611C6E"/>
    <w:rsid w:val="006129C9"/>
    <w:rsid w:val="00614793"/>
    <w:rsid w:val="00614F4D"/>
    <w:rsid w:val="00616126"/>
    <w:rsid w:val="00621162"/>
    <w:rsid w:val="0062178B"/>
    <w:rsid w:val="00630B62"/>
    <w:rsid w:val="00630F43"/>
    <w:rsid w:val="00631219"/>
    <w:rsid w:val="00631F14"/>
    <w:rsid w:val="00632AA3"/>
    <w:rsid w:val="00632DFC"/>
    <w:rsid w:val="0063382D"/>
    <w:rsid w:val="00633AD6"/>
    <w:rsid w:val="006356FC"/>
    <w:rsid w:val="00637F60"/>
    <w:rsid w:val="00641217"/>
    <w:rsid w:val="006437DD"/>
    <w:rsid w:val="006442E7"/>
    <w:rsid w:val="0064741A"/>
    <w:rsid w:val="00650A9D"/>
    <w:rsid w:val="00651DDA"/>
    <w:rsid w:val="00656C9B"/>
    <w:rsid w:val="00660AA4"/>
    <w:rsid w:val="00665265"/>
    <w:rsid w:val="0066627E"/>
    <w:rsid w:val="00666813"/>
    <w:rsid w:val="0067290B"/>
    <w:rsid w:val="00676D9C"/>
    <w:rsid w:val="00680342"/>
    <w:rsid w:val="006813B8"/>
    <w:rsid w:val="00682398"/>
    <w:rsid w:val="006836DD"/>
    <w:rsid w:val="00687555"/>
    <w:rsid w:val="00687937"/>
    <w:rsid w:val="0069011B"/>
    <w:rsid w:val="00696AEE"/>
    <w:rsid w:val="00697F07"/>
    <w:rsid w:val="006A0745"/>
    <w:rsid w:val="006A0D89"/>
    <w:rsid w:val="006A0E24"/>
    <w:rsid w:val="006A23D2"/>
    <w:rsid w:val="006A2E9B"/>
    <w:rsid w:val="006A3D8A"/>
    <w:rsid w:val="006A5D2C"/>
    <w:rsid w:val="006B3A94"/>
    <w:rsid w:val="006B3B6E"/>
    <w:rsid w:val="006B67C9"/>
    <w:rsid w:val="006C063F"/>
    <w:rsid w:val="006C1CCB"/>
    <w:rsid w:val="006C1E5A"/>
    <w:rsid w:val="006C3528"/>
    <w:rsid w:val="006C41C3"/>
    <w:rsid w:val="006C6165"/>
    <w:rsid w:val="006C7341"/>
    <w:rsid w:val="006D2BC7"/>
    <w:rsid w:val="006E3A75"/>
    <w:rsid w:val="006E51B9"/>
    <w:rsid w:val="006E541E"/>
    <w:rsid w:val="006E6853"/>
    <w:rsid w:val="006E711B"/>
    <w:rsid w:val="006F07EE"/>
    <w:rsid w:val="006F1BD0"/>
    <w:rsid w:val="006F1BF8"/>
    <w:rsid w:val="006F5D34"/>
    <w:rsid w:val="006F648E"/>
    <w:rsid w:val="006F6ADD"/>
    <w:rsid w:val="006F6CDB"/>
    <w:rsid w:val="006F732F"/>
    <w:rsid w:val="006F79F5"/>
    <w:rsid w:val="007016C7"/>
    <w:rsid w:val="007068EF"/>
    <w:rsid w:val="007111CB"/>
    <w:rsid w:val="00713C8E"/>
    <w:rsid w:val="007140C3"/>
    <w:rsid w:val="00714491"/>
    <w:rsid w:val="00716685"/>
    <w:rsid w:val="007235C7"/>
    <w:rsid w:val="007268E4"/>
    <w:rsid w:val="00733620"/>
    <w:rsid w:val="00733B6D"/>
    <w:rsid w:val="007358F5"/>
    <w:rsid w:val="00736CED"/>
    <w:rsid w:val="00736F11"/>
    <w:rsid w:val="007372EB"/>
    <w:rsid w:val="00737FFA"/>
    <w:rsid w:val="00743A08"/>
    <w:rsid w:val="0074489C"/>
    <w:rsid w:val="00745AD7"/>
    <w:rsid w:val="0074696F"/>
    <w:rsid w:val="00747B09"/>
    <w:rsid w:val="0075359A"/>
    <w:rsid w:val="007557E1"/>
    <w:rsid w:val="00755DBC"/>
    <w:rsid w:val="00756B3F"/>
    <w:rsid w:val="00756E20"/>
    <w:rsid w:val="007576B6"/>
    <w:rsid w:val="00767442"/>
    <w:rsid w:val="0077052B"/>
    <w:rsid w:val="0077687A"/>
    <w:rsid w:val="0077712A"/>
    <w:rsid w:val="00781A59"/>
    <w:rsid w:val="007821C4"/>
    <w:rsid w:val="007828A3"/>
    <w:rsid w:val="00783DF6"/>
    <w:rsid w:val="00784BD4"/>
    <w:rsid w:val="00785F59"/>
    <w:rsid w:val="00787AC2"/>
    <w:rsid w:val="00792137"/>
    <w:rsid w:val="0079373E"/>
    <w:rsid w:val="007A23D7"/>
    <w:rsid w:val="007A3BAC"/>
    <w:rsid w:val="007B13D4"/>
    <w:rsid w:val="007B1C89"/>
    <w:rsid w:val="007B2B88"/>
    <w:rsid w:val="007C1347"/>
    <w:rsid w:val="007C1B0D"/>
    <w:rsid w:val="007C56C7"/>
    <w:rsid w:val="007C5B16"/>
    <w:rsid w:val="007C6BD5"/>
    <w:rsid w:val="007C724D"/>
    <w:rsid w:val="007D0B93"/>
    <w:rsid w:val="007D28CA"/>
    <w:rsid w:val="007D4309"/>
    <w:rsid w:val="007D46F1"/>
    <w:rsid w:val="007D5D14"/>
    <w:rsid w:val="007D60DA"/>
    <w:rsid w:val="007D65BF"/>
    <w:rsid w:val="007E1E8B"/>
    <w:rsid w:val="007E2C20"/>
    <w:rsid w:val="007E434D"/>
    <w:rsid w:val="007E6217"/>
    <w:rsid w:val="007F034D"/>
    <w:rsid w:val="007F0C14"/>
    <w:rsid w:val="007F233F"/>
    <w:rsid w:val="007F4097"/>
    <w:rsid w:val="007F48BC"/>
    <w:rsid w:val="007F5E1A"/>
    <w:rsid w:val="007F5FFB"/>
    <w:rsid w:val="007F6D9D"/>
    <w:rsid w:val="0080226D"/>
    <w:rsid w:val="00802962"/>
    <w:rsid w:val="00804F67"/>
    <w:rsid w:val="008050FD"/>
    <w:rsid w:val="008056B1"/>
    <w:rsid w:val="0080690A"/>
    <w:rsid w:val="008077A0"/>
    <w:rsid w:val="00813A79"/>
    <w:rsid w:val="00813A9A"/>
    <w:rsid w:val="00815FB2"/>
    <w:rsid w:val="00816551"/>
    <w:rsid w:val="008175E8"/>
    <w:rsid w:val="008203F2"/>
    <w:rsid w:val="00821BA9"/>
    <w:rsid w:val="00824855"/>
    <w:rsid w:val="0082647D"/>
    <w:rsid w:val="008278A6"/>
    <w:rsid w:val="00830000"/>
    <w:rsid w:val="0083169C"/>
    <w:rsid w:val="00834A11"/>
    <w:rsid w:val="008359EC"/>
    <w:rsid w:val="008447DC"/>
    <w:rsid w:val="00850381"/>
    <w:rsid w:val="008511DC"/>
    <w:rsid w:val="0085172C"/>
    <w:rsid w:val="00852C4B"/>
    <w:rsid w:val="00853A27"/>
    <w:rsid w:val="00854017"/>
    <w:rsid w:val="00855CC6"/>
    <w:rsid w:val="00860C21"/>
    <w:rsid w:val="00860F88"/>
    <w:rsid w:val="008646AE"/>
    <w:rsid w:val="00866C82"/>
    <w:rsid w:val="00866D0E"/>
    <w:rsid w:val="00870003"/>
    <w:rsid w:val="00870869"/>
    <w:rsid w:val="00871985"/>
    <w:rsid w:val="00871E32"/>
    <w:rsid w:val="008735E4"/>
    <w:rsid w:val="00873C5E"/>
    <w:rsid w:val="00876FFE"/>
    <w:rsid w:val="008813C3"/>
    <w:rsid w:val="00881AC4"/>
    <w:rsid w:val="008823A3"/>
    <w:rsid w:val="00886146"/>
    <w:rsid w:val="00887C40"/>
    <w:rsid w:val="00890775"/>
    <w:rsid w:val="00894F9E"/>
    <w:rsid w:val="00896649"/>
    <w:rsid w:val="008A260D"/>
    <w:rsid w:val="008A4B4B"/>
    <w:rsid w:val="008A59C6"/>
    <w:rsid w:val="008A5ED7"/>
    <w:rsid w:val="008A73AF"/>
    <w:rsid w:val="008B1B73"/>
    <w:rsid w:val="008B1B74"/>
    <w:rsid w:val="008B58AB"/>
    <w:rsid w:val="008B727D"/>
    <w:rsid w:val="008C1141"/>
    <w:rsid w:val="008C2FBD"/>
    <w:rsid w:val="008C746B"/>
    <w:rsid w:val="008C7F23"/>
    <w:rsid w:val="008D4BEC"/>
    <w:rsid w:val="008D5D83"/>
    <w:rsid w:val="008D7416"/>
    <w:rsid w:val="008E0C10"/>
    <w:rsid w:val="008E46FF"/>
    <w:rsid w:val="008E47AE"/>
    <w:rsid w:val="008E5799"/>
    <w:rsid w:val="008F69DE"/>
    <w:rsid w:val="008F7596"/>
    <w:rsid w:val="00903BD0"/>
    <w:rsid w:val="009113E7"/>
    <w:rsid w:val="0091420A"/>
    <w:rsid w:val="00917E78"/>
    <w:rsid w:val="00920B45"/>
    <w:rsid w:val="00923DA2"/>
    <w:rsid w:val="009274F0"/>
    <w:rsid w:val="0093077B"/>
    <w:rsid w:val="00930863"/>
    <w:rsid w:val="00931DC1"/>
    <w:rsid w:val="00933841"/>
    <w:rsid w:val="00935A87"/>
    <w:rsid w:val="009419CC"/>
    <w:rsid w:val="009423D5"/>
    <w:rsid w:val="00946DEB"/>
    <w:rsid w:val="00950DEE"/>
    <w:rsid w:val="009536C0"/>
    <w:rsid w:val="009537B6"/>
    <w:rsid w:val="00953E55"/>
    <w:rsid w:val="00953F4B"/>
    <w:rsid w:val="00953F50"/>
    <w:rsid w:val="009567A0"/>
    <w:rsid w:val="00957EFE"/>
    <w:rsid w:val="00961EA2"/>
    <w:rsid w:val="00963243"/>
    <w:rsid w:val="00963494"/>
    <w:rsid w:val="00966308"/>
    <w:rsid w:val="00970E40"/>
    <w:rsid w:val="00975AA2"/>
    <w:rsid w:val="00975CFA"/>
    <w:rsid w:val="00976086"/>
    <w:rsid w:val="00977A69"/>
    <w:rsid w:val="009803FC"/>
    <w:rsid w:val="00981001"/>
    <w:rsid w:val="00985960"/>
    <w:rsid w:val="009909F3"/>
    <w:rsid w:val="00992143"/>
    <w:rsid w:val="00994E46"/>
    <w:rsid w:val="00995A82"/>
    <w:rsid w:val="009969C8"/>
    <w:rsid w:val="009A0600"/>
    <w:rsid w:val="009A1605"/>
    <w:rsid w:val="009A2EE4"/>
    <w:rsid w:val="009B087C"/>
    <w:rsid w:val="009B0D46"/>
    <w:rsid w:val="009B17AE"/>
    <w:rsid w:val="009B4013"/>
    <w:rsid w:val="009B4952"/>
    <w:rsid w:val="009B5EF0"/>
    <w:rsid w:val="009B7567"/>
    <w:rsid w:val="009C420C"/>
    <w:rsid w:val="009C5AE8"/>
    <w:rsid w:val="009D276F"/>
    <w:rsid w:val="009D3617"/>
    <w:rsid w:val="009D4563"/>
    <w:rsid w:val="009D758B"/>
    <w:rsid w:val="009D7F0F"/>
    <w:rsid w:val="009E05DC"/>
    <w:rsid w:val="009E71AE"/>
    <w:rsid w:val="009F519F"/>
    <w:rsid w:val="009F5BF8"/>
    <w:rsid w:val="00A0003A"/>
    <w:rsid w:val="00A02A0F"/>
    <w:rsid w:val="00A05E2C"/>
    <w:rsid w:val="00A07854"/>
    <w:rsid w:val="00A11B72"/>
    <w:rsid w:val="00A144A7"/>
    <w:rsid w:val="00A1519E"/>
    <w:rsid w:val="00A156A1"/>
    <w:rsid w:val="00A16914"/>
    <w:rsid w:val="00A16C0B"/>
    <w:rsid w:val="00A208C7"/>
    <w:rsid w:val="00A21705"/>
    <w:rsid w:val="00A2208F"/>
    <w:rsid w:val="00A227CC"/>
    <w:rsid w:val="00A302DB"/>
    <w:rsid w:val="00A32102"/>
    <w:rsid w:val="00A33FF0"/>
    <w:rsid w:val="00A41002"/>
    <w:rsid w:val="00A603CF"/>
    <w:rsid w:val="00A62097"/>
    <w:rsid w:val="00A62D4A"/>
    <w:rsid w:val="00A63D1D"/>
    <w:rsid w:val="00A6699F"/>
    <w:rsid w:val="00A669E3"/>
    <w:rsid w:val="00A70B20"/>
    <w:rsid w:val="00A723E7"/>
    <w:rsid w:val="00A7272C"/>
    <w:rsid w:val="00A732D1"/>
    <w:rsid w:val="00A73CB2"/>
    <w:rsid w:val="00A73F38"/>
    <w:rsid w:val="00A77A6A"/>
    <w:rsid w:val="00A80245"/>
    <w:rsid w:val="00A802AA"/>
    <w:rsid w:val="00A81E98"/>
    <w:rsid w:val="00A82DD1"/>
    <w:rsid w:val="00A83111"/>
    <w:rsid w:val="00A86623"/>
    <w:rsid w:val="00A91B17"/>
    <w:rsid w:val="00A92DE1"/>
    <w:rsid w:val="00A94C59"/>
    <w:rsid w:val="00A95DA0"/>
    <w:rsid w:val="00AA3073"/>
    <w:rsid w:val="00AA44D7"/>
    <w:rsid w:val="00AA503D"/>
    <w:rsid w:val="00AA518D"/>
    <w:rsid w:val="00AA668B"/>
    <w:rsid w:val="00AA6BA0"/>
    <w:rsid w:val="00AA7503"/>
    <w:rsid w:val="00AB0E70"/>
    <w:rsid w:val="00AB156A"/>
    <w:rsid w:val="00AB1FB4"/>
    <w:rsid w:val="00AB2797"/>
    <w:rsid w:val="00AB3242"/>
    <w:rsid w:val="00AB3D26"/>
    <w:rsid w:val="00AB5671"/>
    <w:rsid w:val="00AB5FB2"/>
    <w:rsid w:val="00AB7597"/>
    <w:rsid w:val="00AB76A5"/>
    <w:rsid w:val="00AC205A"/>
    <w:rsid w:val="00AD20DE"/>
    <w:rsid w:val="00AD370C"/>
    <w:rsid w:val="00AE377A"/>
    <w:rsid w:val="00AE577E"/>
    <w:rsid w:val="00AE5D46"/>
    <w:rsid w:val="00AE79DD"/>
    <w:rsid w:val="00AF31C9"/>
    <w:rsid w:val="00AF437A"/>
    <w:rsid w:val="00AF7AAA"/>
    <w:rsid w:val="00B03407"/>
    <w:rsid w:val="00B03F7D"/>
    <w:rsid w:val="00B100AC"/>
    <w:rsid w:val="00B11B25"/>
    <w:rsid w:val="00B122A2"/>
    <w:rsid w:val="00B1459A"/>
    <w:rsid w:val="00B20B53"/>
    <w:rsid w:val="00B234E1"/>
    <w:rsid w:val="00B2433B"/>
    <w:rsid w:val="00B40DE8"/>
    <w:rsid w:val="00B419AF"/>
    <w:rsid w:val="00B41F6A"/>
    <w:rsid w:val="00B43228"/>
    <w:rsid w:val="00B44C70"/>
    <w:rsid w:val="00B47435"/>
    <w:rsid w:val="00B53130"/>
    <w:rsid w:val="00B56CE2"/>
    <w:rsid w:val="00B5703F"/>
    <w:rsid w:val="00B60390"/>
    <w:rsid w:val="00B655BD"/>
    <w:rsid w:val="00B65910"/>
    <w:rsid w:val="00B710C0"/>
    <w:rsid w:val="00B723F6"/>
    <w:rsid w:val="00B7642F"/>
    <w:rsid w:val="00B76704"/>
    <w:rsid w:val="00B803D5"/>
    <w:rsid w:val="00B81630"/>
    <w:rsid w:val="00B81939"/>
    <w:rsid w:val="00B82802"/>
    <w:rsid w:val="00B82805"/>
    <w:rsid w:val="00B83319"/>
    <w:rsid w:val="00B8743F"/>
    <w:rsid w:val="00B91D3A"/>
    <w:rsid w:val="00B93C53"/>
    <w:rsid w:val="00B9411E"/>
    <w:rsid w:val="00B969D5"/>
    <w:rsid w:val="00B96C0F"/>
    <w:rsid w:val="00B9744B"/>
    <w:rsid w:val="00BA0A2D"/>
    <w:rsid w:val="00BB047F"/>
    <w:rsid w:val="00BB3D21"/>
    <w:rsid w:val="00BB5867"/>
    <w:rsid w:val="00BB75F5"/>
    <w:rsid w:val="00BC118C"/>
    <w:rsid w:val="00BD07AF"/>
    <w:rsid w:val="00BD1B07"/>
    <w:rsid w:val="00BE00D2"/>
    <w:rsid w:val="00BE1086"/>
    <w:rsid w:val="00BE1538"/>
    <w:rsid w:val="00BE2DE0"/>
    <w:rsid w:val="00BE5B03"/>
    <w:rsid w:val="00BE6AE0"/>
    <w:rsid w:val="00BF014D"/>
    <w:rsid w:val="00BF0B7F"/>
    <w:rsid w:val="00BF19FB"/>
    <w:rsid w:val="00BF3178"/>
    <w:rsid w:val="00BF4794"/>
    <w:rsid w:val="00BF49E0"/>
    <w:rsid w:val="00BF538C"/>
    <w:rsid w:val="00BF5934"/>
    <w:rsid w:val="00BF5AD1"/>
    <w:rsid w:val="00BF6BAC"/>
    <w:rsid w:val="00BF7A9B"/>
    <w:rsid w:val="00C004E6"/>
    <w:rsid w:val="00C03075"/>
    <w:rsid w:val="00C0473A"/>
    <w:rsid w:val="00C1029D"/>
    <w:rsid w:val="00C1061C"/>
    <w:rsid w:val="00C10802"/>
    <w:rsid w:val="00C11332"/>
    <w:rsid w:val="00C12D91"/>
    <w:rsid w:val="00C17A1F"/>
    <w:rsid w:val="00C21F0D"/>
    <w:rsid w:val="00C2213E"/>
    <w:rsid w:val="00C24D21"/>
    <w:rsid w:val="00C25439"/>
    <w:rsid w:val="00C25AD1"/>
    <w:rsid w:val="00C26190"/>
    <w:rsid w:val="00C2698C"/>
    <w:rsid w:val="00C31DBB"/>
    <w:rsid w:val="00C35E96"/>
    <w:rsid w:val="00C42639"/>
    <w:rsid w:val="00C44451"/>
    <w:rsid w:val="00C459B3"/>
    <w:rsid w:val="00C45FD4"/>
    <w:rsid w:val="00C4631B"/>
    <w:rsid w:val="00C4734D"/>
    <w:rsid w:val="00C52214"/>
    <w:rsid w:val="00C56781"/>
    <w:rsid w:val="00C579E4"/>
    <w:rsid w:val="00C62539"/>
    <w:rsid w:val="00C62EAD"/>
    <w:rsid w:val="00C65C39"/>
    <w:rsid w:val="00C668E1"/>
    <w:rsid w:val="00C67ED3"/>
    <w:rsid w:val="00C724DC"/>
    <w:rsid w:val="00C83047"/>
    <w:rsid w:val="00C83DBF"/>
    <w:rsid w:val="00C85A98"/>
    <w:rsid w:val="00C85B63"/>
    <w:rsid w:val="00C866F9"/>
    <w:rsid w:val="00C9468C"/>
    <w:rsid w:val="00C9484C"/>
    <w:rsid w:val="00CA0FDB"/>
    <w:rsid w:val="00CA1A31"/>
    <w:rsid w:val="00CA361A"/>
    <w:rsid w:val="00CA6034"/>
    <w:rsid w:val="00CA7181"/>
    <w:rsid w:val="00CA7238"/>
    <w:rsid w:val="00CA78C9"/>
    <w:rsid w:val="00CB0B48"/>
    <w:rsid w:val="00CB1178"/>
    <w:rsid w:val="00CB3D67"/>
    <w:rsid w:val="00CB7F45"/>
    <w:rsid w:val="00CC3E61"/>
    <w:rsid w:val="00CC4EC6"/>
    <w:rsid w:val="00CD0AC5"/>
    <w:rsid w:val="00CD2883"/>
    <w:rsid w:val="00CD28D3"/>
    <w:rsid w:val="00CD55AA"/>
    <w:rsid w:val="00CE18CC"/>
    <w:rsid w:val="00CE2266"/>
    <w:rsid w:val="00CE2611"/>
    <w:rsid w:val="00CF1022"/>
    <w:rsid w:val="00CF1AA3"/>
    <w:rsid w:val="00CF6352"/>
    <w:rsid w:val="00CF6D2D"/>
    <w:rsid w:val="00D0133A"/>
    <w:rsid w:val="00D1450F"/>
    <w:rsid w:val="00D14A91"/>
    <w:rsid w:val="00D172BD"/>
    <w:rsid w:val="00D21890"/>
    <w:rsid w:val="00D2219C"/>
    <w:rsid w:val="00D26EED"/>
    <w:rsid w:val="00D30299"/>
    <w:rsid w:val="00D3357B"/>
    <w:rsid w:val="00D424C5"/>
    <w:rsid w:val="00D42F28"/>
    <w:rsid w:val="00D44150"/>
    <w:rsid w:val="00D4425E"/>
    <w:rsid w:val="00D44382"/>
    <w:rsid w:val="00D44961"/>
    <w:rsid w:val="00D46A6B"/>
    <w:rsid w:val="00D52108"/>
    <w:rsid w:val="00D52900"/>
    <w:rsid w:val="00D52977"/>
    <w:rsid w:val="00D531C3"/>
    <w:rsid w:val="00D625DD"/>
    <w:rsid w:val="00D65FAD"/>
    <w:rsid w:val="00D6746A"/>
    <w:rsid w:val="00D6797E"/>
    <w:rsid w:val="00D70028"/>
    <w:rsid w:val="00D73071"/>
    <w:rsid w:val="00D75E95"/>
    <w:rsid w:val="00D7665E"/>
    <w:rsid w:val="00D77518"/>
    <w:rsid w:val="00D81AD3"/>
    <w:rsid w:val="00D836EE"/>
    <w:rsid w:val="00D83E72"/>
    <w:rsid w:val="00D87F08"/>
    <w:rsid w:val="00D92705"/>
    <w:rsid w:val="00D93EF4"/>
    <w:rsid w:val="00D96B23"/>
    <w:rsid w:val="00D977F1"/>
    <w:rsid w:val="00DA2027"/>
    <w:rsid w:val="00DA4BA9"/>
    <w:rsid w:val="00DB004B"/>
    <w:rsid w:val="00DB0B54"/>
    <w:rsid w:val="00DB16D2"/>
    <w:rsid w:val="00DB2B3F"/>
    <w:rsid w:val="00DB2CA1"/>
    <w:rsid w:val="00DB468B"/>
    <w:rsid w:val="00DC1414"/>
    <w:rsid w:val="00DC4F1B"/>
    <w:rsid w:val="00DC590B"/>
    <w:rsid w:val="00DD4B2D"/>
    <w:rsid w:val="00DD5282"/>
    <w:rsid w:val="00DE15EE"/>
    <w:rsid w:val="00DE2774"/>
    <w:rsid w:val="00DE769E"/>
    <w:rsid w:val="00DE7C12"/>
    <w:rsid w:val="00DF0F0E"/>
    <w:rsid w:val="00DF211E"/>
    <w:rsid w:val="00E009C0"/>
    <w:rsid w:val="00E02D61"/>
    <w:rsid w:val="00E03164"/>
    <w:rsid w:val="00E03E23"/>
    <w:rsid w:val="00E10A9E"/>
    <w:rsid w:val="00E13B3A"/>
    <w:rsid w:val="00E178F7"/>
    <w:rsid w:val="00E207B5"/>
    <w:rsid w:val="00E22A9F"/>
    <w:rsid w:val="00E240D4"/>
    <w:rsid w:val="00E27364"/>
    <w:rsid w:val="00E31A44"/>
    <w:rsid w:val="00E32FE6"/>
    <w:rsid w:val="00E33316"/>
    <w:rsid w:val="00E35792"/>
    <w:rsid w:val="00E366FF"/>
    <w:rsid w:val="00E40FEF"/>
    <w:rsid w:val="00E42500"/>
    <w:rsid w:val="00E42FAF"/>
    <w:rsid w:val="00E5083B"/>
    <w:rsid w:val="00E51581"/>
    <w:rsid w:val="00E61ADD"/>
    <w:rsid w:val="00E62361"/>
    <w:rsid w:val="00E70CFE"/>
    <w:rsid w:val="00E71B15"/>
    <w:rsid w:val="00E7322B"/>
    <w:rsid w:val="00E73788"/>
    <w:rsid w:val="00E741B4"/>
    <w:rsid w:val="00E7569E"/>
    <w:rsid w:val="00E845C7"/>
    <w:rsid w:val="00E846C4"/>
    <w:rsid w:val="00E86FE1"/>
    <w:rsid w:val="00E87135"/>
    <w:rsid w:val="00E949CE"/>
    <w:rsid w:val="00E952FC"/>
    <w:rsid w:val="00EA166C"/>
    <w:rsid w:val="00EA3D5E"/>
    <w:rsid w:val="00EA48F0"/>
    <w:rsid w:val="00EA4BBA"/>
    <w:rsid w:val="00EB333F"/>
    <w:rsid w:val="00EB3E6F"/>
    <w:rsid w:val="00EB616E"/>
    <w:rsid w:val="00EB6D5C"/>
    <w:rsid w:val="00EC1AC0"/>
    <w:rsid w:val="00EC1B0C"/>
    <w:rsid w:val="00EC2DBF"/>
    <w:rsid w:val="00EC3B9A"/>
    <w:rsid w:val="00ED0859"/>
    <w:rsid w:val="00ED13E2"/>
    <w:rsid w:val="00ED40E0"/>
    <w:rsid w:val="00ED5908"/>
    <w:rsid w:val="00EE04B4"/>
    <w:rsid w:val="00EE0B27"/>
    <w:rsid w:val="00EE3B72"/>
    <w:rsid w:val="00EE4775"/>
    <w:rsid w:val="00EF3D8B"/>
    <w:rsid w:val="00EF4C85"/>
    <w:rsid w:val="00EF4DC2"/>
    <w:rsid w:val="00EF60C7"/>
    <w:rsid w:val="00EF63A5"/>
    <w:rsid w:val="00F02E8E"/>
    <w:rsid w:val="00F07DD5"/>
    <w:rsid w:val="00F10FF6"/>
    <w:rsid w:val="00F117D0"/>
    <w:rsid w:val="00F11AEF"/>
    <w:rsid w:val="00F1529A"/>
    <w:rsid w:val="00F1677E"/>
    <w:rsid w:val="00F1699F"/>
    <w:rsid w:val="00F21E03"/>
    <w:rsid w:val="00F25D81"/>
    <w:rsid w:val="00F406DC"/>
    <w:rsid w:val="00F41EFA"/>
    <w:rsid w:val="00F50A03"/>
    <w:rsid w:val="00F52479"/>
    <w:rsid w:val="00F54849"/>
    <w:rsid w:val="00F6080E"/>
    <w:rsid w:val="00F63F77"/>
    <w:rsid w:val="00F65A76"/>
    <w:rsid w:val="00F6778F"/>
    <w:rsid w:val="00F67D6C"/>
    <w:rsid w:val="00F7114F"/>
    <w:rsid w:val="00F72B6D"/>
    <w:rsid w:val="00F72B76"/>
    <w:rsid w:val="00F731F1"/>
    <w:rsid w:val="00F74956"/>
    <w:rsid w:val="00F75D44"/>
    <w:rsid w:val="00F75F3D"/>
    <w:rsid w:val="00F818B5"/>
    <w:rsid w:val="00F81D0F"/>
    <w:rsid w:val="00F87BD0"/>
    <w:rsid w:val="00F87DEE"/>
    <w:rsid w:val="00F901F8"/>
    <w:rsid w:val="00F90F33"/>
    <w:rsid w:val="00F9177F"/>
    <w:rsid w:val="00F9203E"/>
    <w:rsid w:val="00FA1647"/>
    <w:rsid w:val="00FA42F2"/>
    <w:rsid w:val="00FA4E10"/>
    <w:rsid w:val="00FA5FD2"/>
    <w:rsid w:val="00FA6CDB"/>
    <w:rsid w:val="00FB1201"/>
    <w:rsid w:val="00FB1D19"/>
    <w:rsid w:val="00FB37E9"/>
    <w:rsid w:val="00FB383A"/>
    <w:rsid w:val="00FB767B"/>
    <w:rsid w:val="00FC32EE"/>
    <w:rsid w:val="00FC4EF9"/>
    <w:rsid w:val="00FC4F8C"/>
    <w:rsid w:val="00FC6C0F"/>
    <w:rsid w:val="00FE0FB9"/>
    <w:rsid w:val="00FE16AE"/>
    <w:rsid w:val="00FE71F8"/>
    <w:rsid w:val="00FF1B5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42AF"/>
  <w15:chartTrackingRefBased/>
  <w15:docId w15:val="{1E111E69-4A9A-4876-B4F6-D29A450E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C9"/>
    <w:pPr>
      <w:spacing w:before="240" w:after="240" w:line="360" w:lineRule="auto"/>
      <w:jc w:val="both"/>
    </w:pPr>
    <w:rPr>
      <w:rFonts w:ascii="Univers" w:eastAsia="Times New Roman" w:hAnsi="Univers" w:cs="Times New Roman"/>
      <w:kern w:val="0"/>
      <w:sz w:val="28"/>
      <w:szCs w:val="24"/>
      <w:lang w:val="es-MX" w:eastAsia="es-ES"/>
      <w14:ligatures w14:val="none"/>
    </w:rPr>
  </w:style>
  <w:style w:type="paragraph" w:styleId="Ttulo1">
    <w:name w:val="heading 1"/>
    <w:basedOn w:val="Normal"/>
    <w:next w:val="Normal"/>
    <w:link w:val="Ttulo1Car"/>
    <w:uiPriority w:val="9"/>
    <w:qFormat/>
    <w:rsid w:val="00AF3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F3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31C9"/>
    <w:pPr>
      <w:keepNext/>
      <w:keepLines/>
      <w:spacing w:before="160" w:after="80"/>
      <w:outlineLvl w:val="2"/>
    </w:pPr>
    <w:rPr>
      <w:rFonts w:eastAsiaTheme="majorEastAsia" w:cstheme="majorBidi"/>
      <w:color w:val="0F4761" w:themeColor="accent1" w:themeShade="BF"/>
      <w:szCs w:val="28"/>
    </w:rPr>
  </w:style>
  <w:style w:type="paragraph" w:styleId="Ttulo4">
    <w:name w:val="heading 4"/>
    <w:basedOn w:val="Normal"/>
    <w:next w:val="Normal"/>
    <w:link w:val="Ttulo4Car"/>
    <w:uiPriority w:val="9"/>
    <w:semiHidden/>
    <w:unhideWhenUsed/>
    <w:qFormat/>
    <w:rsid w:val="00AF31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31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31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31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31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31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31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F31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31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31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31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31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31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31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31C9"/>
    <w:rPr>
      <w:rFonts w:eastAsiaTheme="majorEastAsia" w:cstheme="majorBidi"/>
      <w:color w:val="272727" w:themeColor="text1" w:themeTint="D8"/>
    </w:rPr>
  </w:style>
  <w:style w:type="paragraph" w:styleId="Ttulo">
    <w:name w:val="Title"/>
    <w:basedOn w:val="Normal"/>
    <w:next w:val="Normal"/>
    <w:link w:val="TtuloCar"/>
    <w:uiPriority w:val="10"/>
    <w:qFormat/>
    <w:rsid w:val="00AF3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31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31C9"/>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AF31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31C9"/>
    <w:pPr>
      <w:spacing w:before="160"/>
      <w:jc w:val="center"/>
    </w:pPr>
    <w:rPr>
      <w:i/>
      <w:iCs/>
      <w:color w:val="404040" w:themeColor="text1" w:themeTint="BF"/>
    </w:rPr>
  </w:style>
  <w:style w:type="character" w:customStyle="1" w:styleId="CitaCar">
    <w:name w:val="Cita Car"/>
    <w:basedOn w:val="Fuentedeprrafopredeter"/>
    <w:link w:val="Cita"/>
    <w:uiPriority w:val="29"/>
    <w:rsid w:val="00AF31C9"/>
    <w:rPr>
      <w:i/>
      <w:iCs/>
      <w:color w:val="404040" w:themeColor="text1" w:themeTint="BF"/>
    </w:rPr>
  </w:style>
  <w:style w:type="paragraph" w:styleId="Prrafodelista">
    <w:name w:val="List Paragraph"/>
    <w:aliases w:val="CNBV Parrafo1,Párrafo de lista1,Cita texto,Parrafo 1,Lista multicolor - Énfasis 11,Lista vistosa - Énfasis 11,Cuadrícula media 1 - Énfasis 21,Listas,Footnote,List Paragraph2,List Paragraph1,Colorful List - Accent 11,List Paragraph-Thesi"/>
    <w:basedOn w:val="Normal"/>
    <w:link w:val="PrrafodelistaCar"/>
    <w:uiPriority w:val="34"/>
    <w:qFormat/>
    <w:rsid w:val="00AF31C9"/>
    <w:pPr>
      <w:ind w:left="720"/>
      <w:contextualSpacing/>
    </w:pPr>
  </w:style>
  <w:style w:type="character" w:styleId="nfasisintenso">
    <w:name w:val="Intense Emphasis"/>
    <w:basedOn w:val="Fuentedeprrafopredeter"/>
    <w:uiPriority w:val="21"/>
    <w:qFormat/>
    <w:rsid w:val="00AF31C9"/>
    <w:rPr>
      <w:i/>
      <w:iCs/>
      <w:color w:val="0F4761" w:themeColor="accent1" w:themeShade="BF"/>
    </w:rPr>
  </w:style>
  <w:style w:type="paragraph" w:styleId="Citadestacada">
    <w:name w:val="Intense Quote"/>
    <w:basedOn w:val="Normal"/>
    <w:next w:val="Normal"/>
    <w:link w:val="CitadestacadaCar"/>
    <w:uiPriority w:val="30"/>
    <w:qFormat/>
    <w:rsid w:val="00AF3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31C9"/>
    <w:rPr>
      <w:i/>
      <w:iCs/>
      <w:color w:val="0F4761" w:themeColor="accent1" w:themeShade="BF"/>
    </w:rPr>
  </w:style>
  <w:style w:type="character" w:styleId="Referenciaintensa">
    <w:name w:val="Intense Reference"/>
    <w:basedOn w:val="Fuentedeprrafopredeter"/>
    <w:uiPriority w:val="32"/>
    <w:qFormat/>
    <w:rsid w:val="00AF31C9"/>
    <w:rPr>
      <w:b/>
      <w:bCs/>
      <w:smallCaps/>
      <w:color w:val="0F4761" w:themeColor="accent1" w:themeShade="BF"/>
      <w:spacing w:val="5"/>
    </w:rPr>
  </w:style>
  <w:style w:type="paragraph" w:styleId="Encabezado">
    <w:name w:val="header"/>
    <w:basedOn w:val="Normal"/>
    <w:link w:val="EncabezadoCar"/>
    <w:uiPriority w:val="99"/>
    <w:rsid w:val="00AF31C9"/>
    <w:pPr>
      <w:tabs>
        <w:tab w:val="center" w:pos="4252"/>
        <w:tab w:val="right" w:pos="8504"/>
      </w:tabs>
      <w:spacing w:before="0" w:after="0" w:line="240" w:lineRule="auto"/>
      <w:jc w:val="right"/>
    </w:pPr>
    <w:rPr>
      <w:rFonts w:ascii="Arial" w:hAnsi="Arial"/>
      <w:b/>
    </w:rPr>
  </w:style>
  <w:style w:type="character" w:customStyle="1" w:styleId="EncabezadoCar">
    <w:name w:val="Encabezado Car"/>
    <w:basedOn w:val="Fuentedeprrafopredeter"/>
    <w:link w:val="Encabezado"/>
    <w:uiPriority w:val="99"/>
    <w:rsid w:val="00AF31C9"/>
    <w:rPr>
      <w:rFonts w:ascii="Arial" w:eastAsia="Times New Roman" w:hAnsi="Arial" w:cs="Times New Roman"/>
      <w:b/>
      <w:kern w:val="0"/>
      <w:sz w:val="28"/>
      <w:szCs w:val="24"/>
      <w:lang w:val="es-MX" w:eastAsia="es-ES"/>
      <w14:ligatures w14:val="none"/>
    </w:rPr>
  </w:style>
  <w:style w:type="paragraph" w:styleId="Piedepgina">
    <w:name w:val="footer"/>
    <w:basedOn w:val="Normal"/>
    <w:link w:val="PiedepginaCar"/>
    <w:uiPriority w:val="99"/>
    <w:unhideWhenUsed/>
    <w:qFormat/>
    <w:rsid w:val="00AF31C9"/>
    <w:pPr>
      <w:tabs>
        <w:tab w:val="center" w:pos="4419"/>
        <w:tab w:val="right" w:pos="8838"/>
      </w:tabs>
      <w:spacing w:before="0" w:after="0" w:line="240" w:lineRule="auto"/>
    </w:pPr>
    <w:rPr>
      <w:rFonts w:ascii="Arial" w:hAnsi="Arial"/>
    </w:rPr>
  </w:style>
  <w:style w:type="character" w:customStyle="1" w:styleId="PiedepginaCar">
    <w:name w:val="Pie de página Car"/>
    <w:basedOn w:val="Fuentedeprrafopredeter"/>
    <w:link w:val="Piedepgina"/>
    <w:uiPriority w:val="99"/>
    <w:rsid w:val="00AF31C9"/>
    <w:rPr>
      <w:rFonts w:ascii="Arial" w:eastAsia="Times New Roman" w:hAnsi="Arial" w:cs="Times New Roman"/>
      <w:kern w:val="0"/>
      <w:sz w:val="28"/>
      <w:szCs w:val="24"/>
      <w:lang w:val="es-MX"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qFormat/>
    <w:rsid w:val="00AF31C9"/>
    <w:pPr>
      <w:spacing w:before="0" w:after="0" w:line="240" w:lineRule="auto"/>
    </w:pPr>
    <w:rPr>
      <w:sz w:val="22"/>
      <w:szCs w:val="22"/>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F31C9"/>
    <w:rPr>
      <w:rFonts w:ascii="Univers" w:eastAsia="Times New Roman" w:hAnsi="Univers" w:cs="Times New Roman"/>
      <w:kern w:val="0"/>
      <w:lang w:val="es-MX" w:eastAsia="es-ES"/>
      <w14:ligatures w14:val="none"/>
    </w:rPr>
  </w:style>
  <w:style w:type="paragraph" w:customStyle="1" w:styleId="Normalsentencia">
    <w:name w:val="Normal sentencia"/>
    <w:basedOn w:val="Normal"/>
    <w:link w:val="NormalsentenciaCar"/>
    <w:qFormat/>
    <w:rsid w:val="00AF31C9"/>
    <w:rPr>
      <w:rFonts w:ascii="Arial" w:hAnsi="Arial"/>
      <w:szCs w:val="22"/>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ftref,julio,ftr"/>
    <w:link w:val="4GChar"/>
    <w:uiPriority w:val="99"/>
    <w:qFormat/>
    <w:rsid w:val="00AF31C9"/>
    <w:rPr>
      <w:vertAlign w:val="superscript"/>
    </w:rPr>
  </w:style>
  <w:style w:type="table" w:styleId="Tablaconcuadrcula">
    <w:name w:val="Table Grid"/>
    <w:basedOn w:val="Tablanormal"/>
    <w:uiPriority w:val="39"/>
    <w:rsid w:val="00AF31C9"/>
    <w:pPr>
      <w:spacing w:after="0" w:line="240" w:lineRule="auto"/>
    </w:pPr>
    <w:rPr>
      <w:rFonts w:ascii="Calibri" w:eastAsia="Times New Roman" w:hAnsi="Calibri" w:cs="Times New Roman"/>
      <w:kern w:val="0"/>
      <w:sz w:val="20"/>
      <w:szCs w:val="20"/>
      <w:lang w:val="es-MX"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AF31C9"/>
    <w:rPr>
      <w:color w:val="0000FF"/>
      <w:u w:val="single"/>
    </w:rPr>
  </w:style>
  <w:style w:type="character" w:customStyle="1" w:styleId="NormalsentenciaCar">
    <w:name w:val="Normal sentencia Car"/>
    <w:link w:val="Normalsentencia"/>
    <w:rsid w:val="00AF31C9"/>
    <w:rPr>
      <w:rFonts w:ascii="Arial" w:eastAsia="Times New Roman" w:hAnsi="Arial" w:cs="Times New Roman"/>
      <w:kern w:val="0"/>
      <w:sz w:val="28"/>
      <w:lang w:val="es-MX" w:eastAsia="es-ES"/>
      <w14:ligatures w14:val="none"/>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Car,Car Car, C,C,Car "/>
    <w:basedOn w:val="Normal"/>
    <w:link w:val="NormalWebCar"/>
    <w:uiPriority w:val="99"/>
    <w:qFormat/>
    <w:rsid w:val="00AF31C9"/>
    <w:pPr>
      <w:spacing w:before="100" w:beforeAutospacing="1" w:after="100" w:afterAutospacing="1" w:line="240" w:lineRule="auto"/>
      <w:jc w:val="left"/>
    </w:p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C Car"/>
    <w:link w:val="NormalWeb"/>
    <w:uiPriority w:val="99"/>
    <w:rsid w:val="00AF31C9"/>
    <w:rPr>
      <w:rFonts w:ascii="Univers" w:eastAsia="Times New Roman" w:hAnsi="Univers" w:cs="Times New Roman"/>
      <w:kern w:val="0"/>
      <w:sz w:val="28"/>
      <w:szCs w:val="24"/>
      <w:lang w:val="es-MX" w:eastAsia="es-ES"/>
      <w14:ligatures w14:val="none"/>
    </w:rPr>
  </w:style>
  <w:style w:type="paragraph" w:customStyle="1" w:styleId="General">
    <w:name w:val="General"/>
    <w:basedOn w:val="Normal"/>
    <w:link w:val="GeneralCar"/>
    <w:rsid w:val="00AF31C9"/>
    <w:pPr>
      <w:spacing w:before="0" w:after="0"/>
    </w:pPr>
    <w:rPr>
      <w:rFonts w:ascii="Times New Roman" w:hAnsi="Times New Roman"/>
    </w:rPr>
  </w:style>
  <w:style w:type="character" w:customStyle="1" w:styleId="GeneralCar">
    <w:name w:val="General Car"/>
    <w:link w:val="General"/>
    <w:locked/>
    <w:rsid w:val="00AF31C9"/>
    <w:rPr>
      <w:rFonts w:ascii="Times New Roman" w:eastAsia="Times New Roman" w:hAnsi="Times New Roman" w:cs="Times New Roman"/>
      <w:kern w:val="0"/>
      <w:sz w:val="28"/>
      <w:szCs w:val="24"/>
      <w:lang w:val="es-MX" w:eastAsia="es-ES"/>
      <w14:ligatures w14:val="none"/>
    </w:rPr>
  </w:style>
  <w:style w:type="paragraph" w:styleId="TDC1">
    <w:name w:val="toc 1"/>
    <w:basedOn w:val="Normal"/>
    <w:next w:val="Normal"/>
    <w:autoRedefine/>
    <w:uiPriority w:val="39"/>
    <w:unhideWhenUsed/>
    <w:rsid w:val="00E845C7"/>
    <w:pPr>
      <w:tabs>
        <w:tab w:val="right" w:leader="dot" w:pos="7797"/>
      </w:tabs>
      <w:spacing w:before="0" w:after="0" w:line="240" w:lineRule="auto"/>
      <w:jc w:val="center"/>
    </w:pPr>
    <w:rPr>
      <w:rFonts w:eastAsiaTheme="majorEastAsia" w:cstheme="majorBidi"/>
      <w:noProof/>
      <w:spacing w:val="80"/>
      <w:sz w:val="24"/>
      <w:lang w:eastAsia="es-MX"/>
    </w:rPr>
  </w:style>
  <w:style w:type="paragraph" w:customStyle="1" w:styleId="SXSUBTITULO1">
    <w:name w:val="SX SUBTITULO 1"/>
    <w:basedOn w:val="Normal"/>
    <w:link w:val="SXSUBTITULO1Car"/>
    <w:qFormat/>
    <w:rsid w:val="00AF31C9"/>
    <w:pPr>
      <w:keepNext/>
      <w:keepLines/>
      <w:spacing w:before="480"/>
      <w:outlineLvl w:val="1"/>
    </w:pPr>
    <w:rPr>
      <w:b/>
      <w:szCs w:val="28"/>
    </w:rPr>
  </w:style>
  <w:style w:type="paragraph" w:styleId="TDC2">
    <w:name w:val="toc 2"/>
    <w:basedOn w:val="Normal"/>
    <w:next w:val="Normal"/>
    <w:autoRedefine/>
    <w:uiPriority w:val="39"/>
    <w:unhideWhenUsed/>
    <w:qFormat/>
    <w:rsid w:val="00AF31C9"/>
    <w:pPr>
      <w:tabs>
        <w:tab w:val="right" w:leader="dot" w:pos="7938"/>
      </w:tabs>
      <w:spacing w:before="0" w:after="0" w:line="240" w:lineRule="auto"/>
      <w:ind w:left="567"/>
    </w:pPr>
  </w:style>
  <w:style w:type="character" w:customStyle="1" w:styleId="SXSUBTITULO1Car">
    <w:name w:val="SX SUBTITULO 1 Car"/>
    <w:basedOn w:val="Fuentedeprrafopredeter"/>
    <w:link w:val="SXSUBTITULO1"/>
    <w:rsid w:val="00AF31C9"/>
    <w:rPr>
      <w:rFonts w:ascii="Univers" w:eastAsia="Times New Roman" w:hAnsi="Univers" w:cs="Times New Roman"/>
      <w:b/>
      <w:kern w:val="0"/>
      <w:sz w:val="28"/>
      <w:szCs w:val="28"/>
      <w:lang w:val="es-MX" w:eastAsia="es-ES"/>
      <w14:ligatures w14:val="none"/>
    </w:rPr>
  </w:style>
  <w:style w:type="paragraph" w:styleId="TtuloTDC">
    <w:name w:val="TOC Heading"/>
    <w:basedOn w:val="Ttulo1"/>
    <w:next w:val="Normal"/>
    <w:uiPriority w:val="39"/>
    <w:unhideWhenUsed/>
    <w:qFormat/>
    <w:rsid w:val="00AF31C9"/>
    <w:pPr>
      <w:spacing w:before="480" w:after="0" w:line="276" w:lineRule="auto"/>
      <w:outlineLvl w:val="9"/>
    </w:pPr>
    <w:rPr>
      <w:b/>
      <w:bCs/>
      <w:sz w:val="28"/>
      <w:szCs w:val="28"/>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as Car,Footnote Car,List Paragraph2 Car"/>
    <w:link w:val="Prrafodelista"/>
    <w:uiPriority w:val="34"/>
    <w:qFormat/>
    <w:rsid w:val="00AF31C9"/>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F31C9"/>
    <w:pPr>
      <w:spacing w:before="0" w:after="0" w:line="240" w:lineRule="auto"/>
    </w:pPr>
    <w:rPr>
      <w:rFonts w:asciiTheme="minorHAnsi" w:eastAsiaTheme="minorHAnsi" w:hAnsiTheme="minorHAnsi" w:cstheme="minorBidi"/>
      <w:kern w:val="2"/>
      <w:sz w:val="22"/>
      <w:szCs w:val="22"/>
      <w:vertAlign w:val="superscript"/>
      <w:lang w:val="es-419" w:eastAsia="en-US"/>
      <w14:ligatures w14:val="standardContextual"/>
    </w:rPr>
  </w:style>
  <w:style w:type="paragraph" w:customStyle="1" w:styleId="numerados">
    <w:name w:val="numerados"/>
    <w:basedOn w:val="Normal"/>
    <w:qFormat/>
    <w:rsid w:val="00AF31C9"/>
    <w:pPr>
      <w:numPr>
        <w:numId w:val="2"/>
      </w:numPr>
    </w:pPr>
    <w:rPr>
      <w:szCs w:val="28"/>
      <w:lang w:eastAsia="en-US"/>
    </w:rPr>
  </w:style>
  <w:style w:type="paragraph" w:customStyle="1" w:styleId="NUMERADO0">
    <w:name w:val="NUMERADO"/>
    <w:basedOn w:val="Normal"/>
    <w:link w:val="NUMERADOCar"/>
    <w:qFormat/>
    <w:rsid w:val="00AF31C9"/>
    <w:pPr>
      <w:numPr>
        <w:numId w:val="1"/>
      </w:numPr>
    </w:pPr>
    <w:rPr>
      <w:rFonts w:cs="Arial"/>
      <w:szCs w:val="28"/>
      <w:lang w:eastAsia="es-MX"/>
    </w:rPr>
  </w:style>
  <w:style w:type="character" w:customStyle="1" w:styleId="NUMERADOCar">
    <w:name w:val="NUMERADO Car"/>
    <w:basedOn w:val="Fuentedeprrafopredeter"/>
    <w:link w:val="NUMERADO0"/>
    <w:rsid w:val="00AF31C9"/>
    <w:rPr>
      <w:rFonts w:ascii="Univers" w:eastAsia="Times New Roman" w:hAnsi="Univers" w:cs="Arial"/>
      <w:kern w:val="0"/>
      <w:sz w:val="28"/>
      <w:szCs w:val="28"/>
      <w:lang w:val="es-MX" w:eastAsia="es-MX"/>
      <w14:ligatures w14:val="none"/>
    </w:rPr>
  </w:style>
  <w:style w:type="character" w:customStyle="1" w:styleId="PRRAFOSENTENCIACar">
    <w:name w:val="PÁRRAFO SENTENCIA Car"/>
    <w:basedOn w:val="Fuentedeprrafopredeter"/>
    <w:link w:val="PRRAFOSENTENCIA"/>
    <w:locked/>
    <w:rsid w:val="00AF31C9"/>
    <w:rPr>
      <w:rFonts w:ascii="Arial" w:eastAsia="Times New Roman" w:hAnsi="Arial" w:cs="Arial"/>
      <w:sz w:val="28"/>
      <w:szCs w:val="27"/>
      <w:lang w:val="es-ES" w:eastAsia="es-ES"/>
    </w:rPr>
  </w:style>
  <w:style w:type="paragraph" w:customStyle="1" w:styleId="PRRAFOSENTENCIA">
    <w:name w:val="PÁRRAFO SENTENCIA"/>
    <w:basedOn w:val="Normal"/>
    <w:link w:val="PRRAFOSENTENCIACar"/>
    <w:qFormat/>
    <w:rsid w:val="00AF31C9"/>
    <w:pPr>
      <w:spacing w:before="100" w:beforeAutospacing="1" w:after="100" w:afterAutospacing="1"/>
    </w:pPr>
    <w:rPr>
      <w:rFonts w:ascii="Arial" w:hAnsi="Arial" w:cs="Arial"/>
      <w:kern w:val="2"/>
      <w:szCs w:val="27"/>
      <w:lang w:val="es-ES"/>
      <w14:ligatures w14:val="standardContextual"/>
    </w:rPr>
  </w:style>
  <w:style w:type="character" w:styleId="Mencinsinresolver">
    <w:name w:val="Unresolved Mention"/>
    <w:basedOn w:val="Fuentedeprrafopredeter"/>
    <w:uiPriority w:val="99"/>
    <w:semiHidden/>
    <w:unhideWhenUsed/>
    <w:rsid w:val="00396E72"/>
    <w:rPr>
      <w:color w:val="605E5C"/>
      <w:shd w:val="clear" w:color="auto" w:fill="E1DFDD"/>
    </w:rPr>
  </w:style>
  <w:style w:type="paragraph" w:customStyle="1" w:styleId="NSentencia">
    <w:name w:val="N. Sentencia"/>
    <w:basedOn w:val="Normal"/>
    <w:link w:val="NSentenciaCar"/>
    <w:qFormat/>
    <w:rsid w:val="00A11B72"/>
    <w:pPr>
      <w:numPr>
        <w:numId w:val="4"/>
      </w:numPr>
    </w:pPr>
    <w:rPr>
      <w:bCs/>
      <w:lang w:val="es-ES"/>
    </w:rPr>
  </w:style>
  <w:style w:type="character" w:customStyle="1" w:styleId="NSentenciaCar">
    <w:name w:val="N. Sentencia Car"/>
    <w:basedOn w:val="Fuentedeprrafopredeter"/>
    <w:link w:val="NSentencia"/>
    <w:rsid w:val="00A11B72"/>
    <w:rPr>
      <w:rFonts w:ascii="Univers" w:eastAsia="Times New Roman" w:hAnsi="Univers" w:cs="Times New Roman"/>
      <w:bCs/>
      <w:kern w:val="0"/>
      <w:sz w:val="28"/>
      <w:szCs w:val="24"/>
      <w:lang w:val="es-ES" w:eastAsia="es-ES"/>
      <w14:ligatures w14:val="none"/>
    </w:rPr>
  </w:style>
  <w:style w:type="paragraph" w:styleId="TDC3">
    <w:name w:val="toc 3"/>
    <w:basedOn w:val="Normal"/>
    <w:next w:val="Normal"/>
    <w:autoRedefine/>
    <w:uiPriority w:val="39"/>
    <w:unhideWhenUsed/>
    <w:rsid w:val="006022DC"/>
    <w:pPr>
      <w:spacing w:after="100"/>
      <w:ind w:left="560"/>
    </w:pPr>
  </w:style>
  <w:style w:type="paragraph" w:styleId="Revisin">
    <w:name w:val="Revision"/>
    <w:hidden/>
    <w:uiPriority w:val="99"/>
    <w:semiHidden/>
    <w:rsid w:val="007C1347"/>
    <w:pPr>
      <w:spacing w:after="0" w:line="240" w:lineRule="auto"/>
    </w:pPr>
    <w:rPr>
      <w:rFonts w:ascii="Univers" w:eastAsia="Times New Roman" w:hAnsi="Univers" w:cs="Times New Roman"/>
      <w:kern w:val="0"/>
      <w:sz w:val="28"/>
      <w:szCs w:val="24"/>
      <w:lang w:val="es-MX" w:eastAsia="es-ES"/>
      <w14:ligatures w14:val="none"/>
    </w:rPr>
  </w:style>
  <w:style w:type="paragraph" w:customStyle="1" w:styleId="numerado">
    <w:name w:val="numerado"/>
    <w:basedOn w:val="NormalWeb"/>
    <w:link w:val="numeradoCar0"/>
    <w:qFormat/>
    <w:rsid w:val="00860C21"/>
    <w:pPr>
      <w:numPr>
        <w:numId w:val="5"/>
      </w:numPr>
      <w:tabs>
        <w:tab w:val="left" w:pos="426"/>
      </w:tabs>
      <w:spacing w:before="240" w:beforeAutospacing="0" w:after="0" w:afterAutospacing="0" w:line="360" w:lineRule="auto"/>
      <w:jc w:val="both"/>
    </w:pPr>
    <w:rPr>
      <w:rFonts w:cs="Arial"/>
      <w:szCs w:val="28"/>
    </w:rPr>
  </w:style>
  <w:style w:type="paragraph" w:customStyle="1" w:styleId="NormalNmerado">
    <w:name w:val="Normal Númerado"/>
    <w:basedOn w:val="NormalWeb"/>
    <w:qFormat/>
    <w:rsid w:val="0045217C"/>
    <w:pPr>
      <w:widowControl w:val="0"/>
      <w:numPr>
        <w:numId w:val="6"/>
      </w:numPr>
      <w:spacing w:before="240" w:beforeAutospacing="0" w:after="240" w:afterAutospacing="0" w:line="360" w:lineRule="auto"/>
      <w:jc w:val="both"/>
    </w:pPr>
    <w:rPr>
      <w:rFonts w:eastAsia="Arial Unicode MS" w:cs="Arial"/>
      <w:bCs/>
      <w:iCs/>
      <w:szCs w:val="28"/>
      <w:lang w:eastAsia="es-MX"/>
    </w:rPr>
  </w:style>
  <w:style w:type="character" w:customStyle="1" w:styleId="numeradoCar0">
    <w:name w:val="numerado Car"/>
    <w:basedOn w:val="Fuentedeprrafopredeter"/>
    <w:link w:val="numerado"/>
    <w:locked/>
    <w:rsid w:val="0045217C"/>
    <w:rPr>
      <w:rFonts w:ascii="Univers" w:eastAsia="Times New Roman" w:hAnsi="Univers" w:cs="Arial"/>
      <w:kern w:val="0"/>
      <w:sz w:val="28"/>
      <w:szCs w:val="28"/>
      <w:lang w:val="es-MX"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0421">
      <w:bodyDiv w:val="1"/>
      <w:marLeft w:val="0"/>
      <w:marRight w:val="0"/>
      <w:marTop w:val="0"/>
      <w:marBottom w:val="0"/>
      <w:divBdr>
        <w:top w:val="none" w:sz="0" w:space="0" w:color="auto"/>
        <w:left w:val="none" w:sz="0" w:space="0" w:color="auto"/>
        <w:bottom w:val="none" w:sz="0" w:space="0" w:color="auto"/>
        <w:right w:val="none" w:sz="0" w:space="0" w:color="auto"/>
      </w:divBdr>
    </w:div>
    <w:div w:id="569077006">
      <w:bodyDiv w:val="1"/>
      <w:marLeft w:val="0"/>
      <w:marRight w:val="0"/>
      <w:marTop w:val="0"/>
      <w:marBottom w:val="0"/>
      <w:divBdr>
        <w:top w:val="none" w:sz="0" w:space="0" w:color="auto"/>
        <w:left w:val="none" w:sz="0" w:space="0" w:color="auto"/>
        <w:bottom w:val="none" w:sz="0" w:space="0" w:color="auto"/>
        <w:right w:val="none" w:sz="0" w:space="0" w:color="auto"/>
      </w:divBdr>
    </w:div>
    <w:div w:id="20549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media/compilacion/compilacion2.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D21D9-5E87-4CAD-9D7B-7F29F851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10939</Words>
  <Characters>60165</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Alejandra Ramos Andreani</dc:creator>
  <cp:keywords/>
  <dc:description/>
  <cp:lastModifiedBy>María del Rosario Cano Rugerio</cp:lastModifiedBy>
  <cp:revision>5</cp:revision>
  <cp:lastPrinted>2025-05-13T20:09:00Z</cp:lastPrinted>
  <dcterms:created xsi:type="dcterms:W3CDTF">2025-05-13T18:56:00Z</dcterms:created>
  <dcterms:modified xsi:type="dcterms:W3CDTF">2025-05-13T20:09:00Z</dcterms:modified>
</cp:coreProperties>
</file>